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CAD" w:rsidRDefault="00C47CAD" w:rsidP="00C47CAD">
      <w:pPr>
        <w:widowControl w:val="0"/>
        <w:spacing w:after="240"/>
        <w:jc w:val="center"/>
        <w:rPr>
          <w:b/>
          <w:sz w:val="28"/>
          <w:szCs w:val="28"/>
        </w:rPr>
      </w:pPr>
      <w:r>
        <w:rPr>
          <w:b/>
          <w:sz w:val="28"/>
          <w:szCs w:val="28"/>
        </w:rPr>
        <w:t xml:space="preserve">Информация о проведенной проверке деятельности </w:t>
      </w:r>
      <w:r w:rsidRPr="00C00676">
        <w:rPr>
          <w:b/>
          <w:color w:val="000000"/>
          <w:sz w:val="28"/>
          <w:szCs w:val="28"/>
        </w:rPr>
        <w:t xml:space="preserve">отдела </w:t>
      </w:r>
      <w:r>
        <w:rPr>
          <w:b/>
          <w:color w:val="000000"/>
          <w:sz w:val="28"/>
          <w:szCs w:val="28"/>
        </w:rPr>
        <w:t>№ 1</w:t>
      </w:r>
      <w:r>
        <w:rPr>
          <w:b/>
          <w:sz w:val="28"/>
          <w:szCs w:val="28"/>
        </w:rPr>
        <w:t xml:space="preserve"> Управления Федерального казначейства по Ханты-Мансийскому автономному округу – Югре</w:t>
      </w:r>
    </w:p>
    <w:p w:rsidR="00C47CAD" w:rsidRDefault="00C47CAD" w:rsidP="00C47CAD">
      <w:pPr>
        <w:pStyle w:val="a3"/>
        <w:spacing w:after="0"/>
        <w:ind w:firstLine="709"/>
        <w:jc w:val="both"/>
      </w:pPr>
      <w:r>
        <w:rPr>
          <w:rFonts w:cs="Times New Roman"/>
          <w:sz w:val="28"/>
          <w:szCs w:val="28"/>
        </w:rPr>
        <w:t xml:space="preserve">Во исполнение </w:t>
      </w:r>
      <w:r>
        <w:rPr>
          <w:rFonts w:cs="Times New Roman"/>
          <w:spacing w:val="3"/>
          <w:sz w:val="28"/>
          <w:szCs w:val="28"/>
        </w:rPr>
        <w:t xml:space="preserve">приказа Управления Федерального казначейства по Ханты-Мансийскому автономному округу – Югре (далее – Управление) </w:t>
      </w:r>
      <w:r>
        <w:rPr>
          <w:rFonts w:cs="Times New Roman"/>
          <w:sz w:val="28"/>
          <w:szCs w:val="28"/>
        </w:rPr>
        <w:t>от 10.06.2025 № 147-П «</w:t>
      </w:r>
      <w:r w:rsidRPr="00B32A9E">
        <w:rPr>
          <w:rFonts w:cs="Times New Roman"/>
          <w:color w:val="000000"/>
          <w:sz w:val="28"/>
          <w:szCs w:val="28"/>
        </w:rPr>
        <w:t xml:space="preserve">О проведении проверки деятельности </w:t>
      </w:r>
      <w:r w:rsidRPr="00C00676">
        <w:rPr>
          <w:rFonts w:cs="Times New Roman"/>
          <w:color w:val="000000"/>
          <w:sz w:val="28"/>
          <w:szCs w:val="28"/>
        </w:rPr>
        <w:t xml:space="preserve">отдела </w:t>
      </w:r>
      <w:r>
        <w:rPr>
          <w:rFonts w:cs="Times New Roman"/>
          <w:color w:val="000000"/>
          <w:sz w:val="28"/>
          <w:szCs w:val="28"/>
        </w:rPr>
        <w:t>№ 1</w:t>
      </w:r>
      <w:r>
        <w:rPr>
          <w:rFonts w:cs="Times New Roman"/>
          <w:spacing w:val="3"/>
          <w:sz w:val="28"/>
          <w:szCs w:val="28"/>
        </w:rPr>
        <w:t xml:space="preserve">» </w:t>
      </w:r>
      <w:r>
        <w:rPr>
          <w:rFonts w:cs="Times New Roman"/>
          <w:sz w:val="28"/>
          <w:szCs w:val="28"/>
        </w:rPr>
        <w:t xml:space="preserve">в соответствии с Программой проверки </w:t>
      </w:r>
      <w:r w:rsidRPr="00C00676">
        <w:rPr>
          <w:rFonts w:cs="Times New Roman"/>
          <w:color w:val="000000"/>
          <w:sz w:val="28"/>
          <w:szCs w:val="28"/>
        </w:rPr>
        <w:t xml:space="preserve">отдела </w:t>
      </w:r>
      <w:r>
        <w:rPr>
          <w:rFonts w:cs="Times New Roman"/>
          <w:color w:val="000000"/>
          <w:sz w:val="28"/>
          <w:szCs w:val="28"/>
        </w:rPr>
        <w:t>№ 1</w:t>
      </w:r>
      <w:r>
        <w:rPr>
          <w:rFonts w:cs="Times New Roman"/>
          <w:sz w:val="28"/>
          <w:szCs w:val="28"/>
        </w:rPr>
        <w:t xml:space="preserve"> Управления </w:t>
      </w:r>
      <w:r>
        <w:rPr>
          <w:sz w:val="28"/>
          <w:szCs w:val="28"/>
        </w:rPr>
        <w:t xml:space="preserve">(далее – Отдел) за </w:t>
      </w:r>
      <w:r>
        <w:rPr>
          <w:rFonts w:cs="Times New Roman"/>
          <w:sz w:val="28"/>
          <w:szCs w:val="28"/>
        </w:rPr>
        <w:t>период с 01.08.2022 по 30.06.2025, утвержденной руководителем Управления А.В. Цыганенко 07.08.2025, контрольно-аудиторской группой</w:t>
      </w:r>
      <w:r>
        <w:rPr>
          <w:sz w:val="28"/>
          <w:szCs w:val="28"/>
        </w:rPr>
        <w:t xml:space="preserve"> проведена проверка деятельности </w:t>
      </w:r>
      <w:r>
        <w:rPr>
          <w:rFonts w:cs="Times New Roman"/>
          <w:sz w:val="28"/>
          <w:szCs w:val="28"/>
        </w:rPr>
        <w:t>Отдела</w:t>
      </w:r>
      <w:r>
        <w:rPr>
          <w:sz w:val="28"/>
          <w:szCs w:val="28"/>
        </w:rPr>
        <w:t xml:space="preserve"> по теме: </w:t>
      </w:r>
      <w:r>
        <w:rPr>
          <w:bCs/>
          <w:sz w:val="28"/>
          <w:szCs w:val="28"/>
        </w:rPr>
        <w:t xml:space="preserve">проверка выполнения отдельных функций. </w:t>
      </w:r>
    </w:p>
    <w:p w:rsidR="00C47CAD" w:rsidRDefault="00C47CAD" w:rsidP="00C47CAD">
      <w:pPr>
        <w:pStyle w:val="a3"/>
        <w:spacing w:after="0"/>
        <w:ind w:firstLine="709"/>
        <w:jc w:val="both"/>
        <w:rPr>
          <w:rFonts w:cs="Times New Roman"/>
          <w:b/>
          <w:sz w:val="28"/>
          <w:szCs w:val="28"/>
        </w:rPr>
      </w:pPr>
      <w:r>
        <w:rPr>
          <w:rFonts w:cs="Times New Roman"/>
          <w:b/>
          <w:sz w:val="28"/>
          <w:szCs w:val="28"/>
        </w:rPr>
        <w:t>Проверяемый период:</w:t>
      </w:r>
      <w:r>
        <w:rPr>
          <w:rFonts w:cs="Times New Roman"/>
          <w:sz w:val="28"/>
          <w:szCs w:val="28"/>
        </w:rPr>
        <w:t xml:space="preserve"> с 01.08.2022 по 30.06.2025.</w:t>
      </w:r>
    </w:p>
    <w:p w:rsidR="00C47CAD" w:rsidRDefault="00C47CAD" w:rsidP="00C47CAD">
      <w:pPr>
        <w:ind w:firstLine="709"/>
        <w:jc w:val="both"/>
        <w:rPr>
          <w:sz w:val="28"/>
          <w:szCs w:val="28"/>
        </w:rPr>
      </w:pPr>
      <w:r>
        <w:rPr>
          <w:b/>
          <w:sz w:val="28"/>
          <w:szCs w:val="28"/>
        </w:rPr>
        <w:t>Вид проверки:</w:t>
      </w:r>
      <w:r>
        <w:rPr>
          <w:sz w:val="28"/>
          <w:szCs w:val="28"/>
        </w:rPr>
        <w:t xml:space="preserve"> камеральная проверка. </w:t>
      </w:r>
    </w:p>
    <w:p w:rsidR="00EB19E1" w:rsidRPr="00CD410E" w:rsidRDefault="00C47CAD" w:rsidP="00EB19E1">
      <w:pPr>
        <w:pStyle w:val="OTRNormal"/>
        <w:widowControl w:val="0"/>
        <w:suppressAutoHyphens w:val="0"/>
        <w:spacing w:before="0" w:after="0"/>
        <w:ind w:firstLine="708"/>
        <w:rPr>
          <w:color w:val="000000"/>
          <w:sz w:val="28"/>
          <w:szCs w:val="28"/>
        </w:rPr>
      </w:pPr>
      <w:r>
        <w:rPr>
          <w:b/>
          <w:sz w:val="28"/>
          <w:szCs w:val="28"/>
        </w:rPr>
        <w:t>Цель проверки:</w:t>
      </w:r>
      <w:r>
        <w:rPr>
          <w:sz w:val="28"/>
          <w:szCs w:val="28"/>
        </w:rPr>
        <w:t xml:space="preserve"> </w:t>
      </w:r>
      <w:r w:rsidRPr="00B32A9E">
        <w:rPr>
          <w:color w:val="000000"/>
          <w:sz w:val="28"/>
          <w:szCs w:val="28"/>
        </w:rPr>
        <w:t xml:space="preserve">установление соответствия деятельности </w:t>
      </w:r>
      <w:r>
        <w:rPr>
          <w:color w:val="000000"/>
          <w:sz w:val="28"/>
          <w:szCs w:val="28"/>
        </w:rPr>
        <w:t>Отдела</w:t>
      </w:r>
      <w:r w:rsidRPr="00B32A9E">
        <w:rPr>
          <w:color w:val="000000"/>
          <w:sz w:val="28"/>
          <w:szCs w:val="28"/>
        </w:rPr>
        <w:t xml:space="preserve"> </w:t>
      </w:r>
      <w:r w:rsidR="00AD5086">
        <w:rPr>
          <w:color w:val="000000"/>
          <w:sz w:val="28"/>
          <w:szCs w:val="28"/>
        </w:rPr>
        <w:t xml:space="preserve">по исполнению </w:t>
      </w:r>
      <w:r w:rsidR="00EB19E1" w:rsidRPr="00CD410E">
        <w:rPr>
          <w:color w:val="000000"/>
          <w:sz w:val="28"/>
          <w:szCs w:val="28"/>
        </w:rPr>
        <w:t xml:space="preserve">государственных функций и полномочий, по обеспечению его текущей деятельности требованиям законодательных и иных нормативных правовых актов Российской Федерации, нормативных правовых и правовых актов Министерства финансов Российской Федерации и Федерального казначейства, а также иных документов и принятых управленческих решений в установленной сфере деятельности, а также оценка надежности внутреннего контроля в части: </w:t>
      </w:r>
    </w:p>
    <w:p w:rsidR="00EB19E1" w:rsidRPr="00CD410E" w:rsidRDefault="00EB19E1" w:rsidP="00EB19E1">
      <w:pPr>
        <w:pStyle w:val="OTRNormal"/>
        <w:widowControl w:val="0"/>
        <w:spacing w:before="0" w:after="0"/>
        <w:ind w:firstLine="709"/>
        <w:rPr>
          <w:color w:val="000000"/>
          <w:sz w:val="28"/>
          <w:szCs w:val="28"/>
        </w:rPr>
      </w:pPr>
      <w:r w:rsidRPr="00CD410E">
        <w:rPr>
          <w:color w:val="000000"/>
          <w:sz w:val="28"/>
          <w:szCs w:val="28"/>
        </w:rPr>
        <w:t>осуществления и учета операций со средствами федерального бюджета, средствами, поступающими во временное распоряжение получателей средств федерального бюджета, средствами для финансирования мероприятий по оперативно-розыскной деятельности;</w:t>
      </w:r>
    </w:p>
    <w:p w:rsidR="003301DE" w:rsidRPr="00CD410E" w:rsidRDefault="00EB19E1" w:rsidP="00EB19E1">
      <w:pPr>
        <w:ind w:firstLine="709"/>
        <w:jc w:val="both"/>
        <w:rPr>
          <w:color w:val="000000"/>
          <w:sz w:val="28"/>
          <w:szCs w:val="28"/>
        </w:rPr>
      </w:pPr>
      <w:r w:rsidRPr="00CD410E">
        <w:rPr>
          <w:color w:val="000000"/>
          <w:sz w:val="28"/>
          <w:szCs w:val="28"/>
        </w:rPr>
        <w:t>казначейского обслуживания исполнения местных бюджетов, операций со средствами, поступающими во временное распоряжение получателей средств местных бюджетов.</w:t>
      </w:r>
      <w:r w:rsidR="003301DE" w:rsidRPr="00CD410E">
        <w:rPr>
          <w:color w:val="000000"/>
          <w:sz w:val="28"/>
          <w:szCs w:val="28"/>
        </w:rPr>
        <w:t xml:space="preserve"> </w:t>
      </w:r>
    </w:p>
    <w:p w:rsidR="00C47CAD" w:rsidRDefault="00C47CAD" w:rsidP="00C47CAD">
      <w:pPr>
        <w:ind w:firstLine="708"/>
        <w:jc w:val="both"/>
        <w:rPr>
          <w:sz w:val="28"/>
          <w:szCs w:val="28"/>
        </w:rPr>
      </w:pPr>
      <w:r>
        <w:rPr>
          <w:sz w:val="28"/>
          <w:szCs w:val="28"/>
        </w:rPr>
        <w:t xml:space="preserve">По итогам проведенной проверки оформлен Акт проверки Отдела от </w:t>
      </w:r>
      <w:r w:rsidR="007C0215">
        <w:rPr>
          <w:sz w:val="28"/>
          <w:szCs w:val="28"/>
        </w:rPr>
        <w:t>11</w:t>
      </w:r>
      <w:r>
        <w:rPr>
          <w:sz w:val="28"/>
          <w:szCs w:val="28"/>
        </w:rPr>
        <w:t>.</w:t>
      </w:r>
      <w:r w:rsidR="007C0215">
        <w:rPr>
          <w:sz w:val="28"/>
          <w:szCs w:val="28"/>
        </w:rPr>
        <w:t>08</w:t>
      </w:r>
      <w:r>
        <w:rPr>
          <w:sz w:val="28"/>
          <w:szCs w:val="28"/>
        </w:rPr>
        <w:t>.2025.</w:t>
      </w:r>
    </w:p>
    <w:p w:rsidR="00C47CAD" w:rsidRDefault="00C47CAD" w:rsidP="00C47CAD">
      <w:pPr>
        <w:pStyle w:val="ConsPlusNonformat0"/>
        <w:ind w:firstLine="709"/>
        <w:jc w:val="both"/>
        <w:rPr>
          <w:rFonts w:ascii="Times New Roman" w:hAnsi="Times New Roman" w:cs="Times New Roman"/>
          <w:sz w:val="28"/>
          <w:szCs w:val="28"/>
        </w:rPr>
      </w:pPr>
      <w:r>
        <w:rPr>
          <w:rFonts w:ascii="Times New Roman" w:hAnsi="Times New Roman" w:cs="Times New Roman"/>
          <w:sz w:val="28"/>
          <w:szCs w:val="28"/>
        </w:rPr>
        <w:t xml:space="preserve">По результатам рассмотрения Акта проверки Отдела от </w:t>
      </w:r>
      <w:r w:rsidR="007C0215">
        <w:rPr>
          <w:rFonts w:ascii="Times New Roman" w:hAnsi="Times New Roman" w:cs="Times New Roman"/>
          <w:sz w:val="28"/>
          <w:szCs w:val="28"/>
        </w:rPr>
        <w:t>11</w:t>
      </w:r>
      <w:r w:rsidRPr="00C00676">
        <w:rPr>
          <w:rFonts w:ascii="Times New Roman" w:hAnsi="Times New Roman" w:cs="Times New Roman"/>
          <w:sz w:val="28"/>
          <w:szCs w:val="28"/>
        </w:rPr>
        <w:t>.</w:t>
      </w:r>
      <w:r w:rsidR="007C0215">
        <w:rPr>
          <w:rFonts w:ascii="Times New Roman" w:hAnsi="Times New Roman" w:cs="Times New Roman"/>
          <w:sz w:val="28"/>
          <w:szCs w:val="28"/>
        </w:rPr>
        <w:t>08</w:t>
      </w:r>
      <w:r w:rsidRPr="00C00676">
        <w:rPr>
          <w:rFonts w:ascii="Times New Roman" w:hAnsi="Times New Roman" w:cs="Times New Roman"/>
          <w:sz w:val="28"/>
          <w:szCs w:val="28"/>
        </w:rPr>
        <w:t>.2025</w:t>
      </w:r>
      <w:r>
        <w:rPr>
          <w:sz w:val="28"/>
          <w:szCs w:val="28"/>
        </w:rPr>
        <w:t xml:space="preserve"> </w:t>
      </w:r>
      <w:r>
        <w:rPr>
          <w:rFonts w:ascii="Times New Roman" w:hAnsi="Times New Roman" w:cs="Times New Roman"/>
          <w:sz w:val="28"/>
          <w:szCs w:val="28"/>
        </w:rPr>
        <w:t xml:space="preserve">подготовлен и представлен руководителю Управления Отчет о результатах проверки Отдела от </w:t>
      </w:r>
      <w:r w:rsidR="007C0215">
        <w:rPr>
          <w:rFonts w:ascii="Times New Roman" w:hAnsi="Times New Roman" w:cs="Times New Roman"/>
          <w:sz w:val="28"/>
          <w:szCs w:val="28"/>
        </w:rPr>
        <w:t>18</w:t>
      </w:r>
      <w:r>
        <w:rPr>
          <w:rFonts w:ascii="Times New Roman" w:hAnsi="Times New Roman" w:cs="Times New Roman"/>
          <w:sz w:val="28"/>
          <w:szCs w:val="28"/>
        </w:rPr>
        <w:t>.</w:t>
      </w:r>
      <w:r w:rsidR="007C0215">
        <w:rPr>
          <w:rFonts w:ascii="Times New Roman" w:hAnsi="Times New Roman" w:cs="Times New Roman"/>
          <w:sz w:val="28"/>
          <w:szCs w:val="28"/>
        </w:rPr>
        <w:t>08</w:t>
      </w:r>
      <w:r>
        <w:rPr>
          <w:rFonts w:ascii="Times New Roman" w:hAnsi="Times New Roman" w:cs="Times New Roman"/>
          <w:sz w:val="28"/>
          <w:szCs w:val="28"/>
        </w:rPr>
        <w:t xml:space="preserve">.2025. </w:t>
      </w:r>
    </w:p>
    <w:p w:rsidR="00C47CAD" w:rsidRDefault="00C47CAD" w:rsidP="00C47CAD">
      <w:pPr>
        <w:ind w:firstLine="709"/>
        <w:jc w:val="both"/>
        <w:rPr>
          <w:b/>
          <w:sz w:val="28"/>
          <w:szCs w:val="28"/>
        </w:rPr>
      </w:pPr>
      <w:r>
        <w:rPr>
          <w:b/>
          <w:sz w:val="28"/>
          <w:szCs w:val="28"/>
        </w:rPr>
        <w:t>Выводы:</w:t>
      </w:r>
    </w:p>
    <w:p w:rsidR="00EB19E1" w:rsidRPr="00CD410E" w:rsidRDefault="00EB19E1" w:rsidP="00EB19E1">
      <w:pPr>
        <w:widowControl w:val="0"/>
        <w:autoSpaceDE w:val="0"/>
        <w:autoSpaceDN w:val="0"/>
        <w:adjustRightInd w:val="0"/>
        <w:ind w:firstLine="709"/>
        <w:jc w:val="both"/>
        <w:outlineLvl w:val="0"/>
        <w:rPr>
          <w:color w:val="000000"/>
          <w:sz w:val="28"/>
          <w:szCs w:val="28"/>
        </w:rPr>
      </w:pPr>
      <w:r w:rsidRPr="00CD410E">
        <w:rPr>
          <w:color w:val="000000"/>
          <w:sz w:val="28"/>
          <w:szCs w:val="28"/>
        </w:rPr>
        <w:t xml:space="preserve">Деятельность Отдела по направлению деятельности «Осуществление и учет операций со средствами федерального бюджета, средствами, поступающими во временное распоряжение получателей средств федерального бюджета, средствами для финансирования мероприятий по оперативно-розыскной деятельности» осуществлялась с нарушением требований законодательных и иных нормативных правовых актов Российской Федерации, нормативных правовых и правовых актов Федерального казначейства, иных документов. Выявлены нарушения (недостатки) по большинству вопросов программы проверки. </w:t>
      </w:r>
    </w:p>
    <w:p w:rsidR="00EB19E1" w:rsidRPr="00CD410E" w:rsidRDefault="00EB19E1" w:rsidP="00EB19E1">
      <w:pPr>
        <w:widowControl w:val="0"/>
        <w:autoSpaceDE w:val="0"/>
        <w:autoSpaceDN w:val="0"/>
        <w:adjustRightInd w:val="0"/>
        <w:ind w:firstLine="709"/>
        <w:jc w:val="both"/>
        <w:outlineLvl w:val="0"/>
        <w:rPr>
          <w:color w:val="000000"/>
          <w:sz w:val="28"/>
          <w:szCs w:val="28"/>
        </w:rPr>
      </w:pPr>
      <w:r w:rsidRPr="00CD410E">
        <w:rPr>
          <w:color w:val="000000"/>
          <w:sz w:val="28"/>
          <w:szCs w:val="28"/>
        </w:rPr>
        <w:t xml:space="preserve">Деятельность Отдела по направлению деятельности «Казначейское обслуживание исполнения местных бюджетов, операций со средствами, поступающими во временное распоряжение получателей средств местных бюджетов» в основном осуществлялась в соответствии с требованиями </w:t>
      </w:r>
      <w:r w:rsidRPr="00CD410E">
        <w:rPr>
          <w:color w:val="000000"/>
          <w:sz w:val="28"/>
          <w:szCs w:val="28"/>
        </w:rPr>
        <w:lastRenderedPageBreak/>
        <w:t>законодательных и иных нормативных правовых актов Российской Федерации, нормативных правовых и правовых актов Министерства финансов Российской Федерации и Федерального казначейства, иных документов. Выявлены нарушения (недостатки) по отдельным вопросам программы проверки.</w:t>
      </w:r>
    </w:p>
    <w:p w:rsidR="00EB19E1" w:rsidRPr="00CD410E" w:rsidRDefault="00EB19E1" w:rsidP="00EB19E1">
      <w:pPr>
        <w:widowControl w:val="0"/>
        <w:autoSpaceDE w:val="0"/>
        <w:autoSpaceDN w:val="0"/>
        <w:adjustRightInd w:val="0"/>
        <w:ind w:firstLine="709"/>
        <w:jc w:val="both"/>
        <w:outlineLvl w:val="0"/>
        <w:rPr>
          <w:color w:val="000000"/>
          <w:sz w:val="28"/>
          <w:szCs w:val="28"/>
        </w:rPr>
      </w:pPr>
      <w:r w:rsidRPr="00CD410E">
        <w:rPr>
          <w:color w:val="000000"/>
          <w:sz w:val="28"/>
          <w:szCs w:val="28"/>
        </w:rPr>
        <w:t xml:space="preserve">Степень надежности внутреннего контроля по предметам внутреннего контроля, включенным в Карты внутреннего контроля Отдела на 2022, 2023, 2024, 2025 годы: </w:t>
      </w:r>
    </w:p>
    <w:p w:rsidR="00EB19E1" w:rsidRPr="00CD410E" w:rsidRDefault="00EB19E1" w:rsidP="00EB19E1">
      <w:pPr>
        <w:widowControl w:val="0"/>
        <w:autoSpaceDE w:val="0"/>
        <w:autoSpaceDN w:val="0"/>
        <w:adjustRightInd w:val="0"/>
        <w:ind w:firstLine="709"/>
        <w:jc w:val="both"/>
        <w:outlineLvl w:val="0"/>
        <w:rPr>
          <w:color w:val="000000"/>
          <w:sz w:val="28"/>
          <w:szCs w:val="28"/>
        </w:rPr>
      </w:pPr>
      <w:r w:rsidRPr="00CD410E">
        <w:rPr>
          <w:color w:val="000000"/>
          <w:sz w:val="28"/>
          <w:szCs w:val="28"/>
        </w:rPr>
        <w:t>Правильность проверки оформления и своевременность обработки документов Заявки на кассовый расход, Сводной заявки на кассовый расход (для уплаты налогов) (2023 год),</w:t>
      </w:r>
    </w:p>
    <w:p w:rsidR="00EB19E1" w:rsidRPr="00CD410E" w:rsidRDefault="00EB19E1" w:rsidP="00EB19E1">
      <w:pPr>
        <w:widowControl w:val="0"/>
        <w:autoSpaceDE w:val="0"/>
        <w:autoSpaceDN w:val="0"/>
        <w:adjustRightInd w:val="0"/>
        <w:ind w:firstLine="709"/>
        <w:jc w:val="both"/>
        <w:outlineLvl w:val="0"/>
        <w:rPr>
          <w:color w:val="000000"/>
          <w:sz w:val="28"/>
          <w:szCs w:val="28"/>
        </w:rPr>
      </w:pPr>
      <w:r w:rsidRPr="00CD410E">
        <w:rPr>
          <w:color w:val="000000"/>
          <w:sz w:val="28"/>
          <w:szCs w:val="28"/>
        </w:rPr>
        <w:t>Проведение операций со средствами, поступающими во временное распоряжение получателя средств федерального бюджета (2024 год),</w:t>
      </w:r>
    </w:p>
    <w:p w:rsidR="00EB19E1" w:rsidRPr="00CD410E" w:rsidRDefault="00EB19E1" w:rsidP="00EB19E1">
      <w:pPr>
        <w:widowControl w:val="0"/>
        <w:autoSpaceDE w:val="0"/>
        <w:autoSpaceDN w:val="0"/>
        <w:adjustRightInd w:val="0"/>
        <w:ind w:firstLine="709"/>
        <w:jc w:val="both"/>
        <w:outlineLvl w:val="0"/>
        <w:rPr>
          <w:color w:val="000000"/>
          <w:sz w:val="28"/>
          <w:szCs w:val="28"/>
        </w:rPr>
      </w:pPr>
      <w:r w:rsidRPr="00CD410E">
        <w:rPr>
          <w:color w:val="000000"/>
          <w:sz w:val="28"/>
          <w:szCs w:val="28"/>
        </w:rPr>
        <w:t xml:space="preserve">Осуществление предварительного и текущего контроля за ведением операций со средствами федерального бюджета получателями средств федерального бюджета (2024, 2025 год), </w:t>
      </w:r>
    </w:p>
    <w:p w:rsidR="00EB19E1" w:rsidRPr="00CD410E" w:rsidRDefault="00EB19E1" w:rsidP="00EB19E1">
      <w:pPr>
        <w:widowControl w:val="0"/>
        <w:autoSpaceDE w:val="0"/>
        <w:autoSpaceDN w:val="0"/>
        <w:adjustRightInd w:val="0"/>
        <w:ind w:firstLine="709"/>
        <w:jc w:val="both"/>
        <w:outlineLvl w:val="0"/>
        <w:rPr>
          <w:color w:val="000000"/>
          <w:sz w:val="28"/>
          <w:szCs w:val="28"/>
        </w:rPr>
      </w:pPr>
      <w:r w:rsidRPr="00CD410E">
        <w:rPr>
          <w:color w:val="000000"/>
          <w:sz w:val="28"/>
          <w:szCs w:val="28"/>
        </w:rPr>
        <w:t>Санкционирование оплаты денежных обязательств получателей средств федерального бюджета и оплаты денежных обязательств, подлежащих исполнению за счет бюджетных ассигнований по источникам финансирования дефицита федерального бюджета (2025 год),</w:t>
      </w:r>
    </w:p>
    <w:p w:rsidR="00EB19E1" w:rsidRPr="00CD410E" w:rsidRDefault="00EB19E1" w:rsidP="00EB19E1">
      <w:pPr>
        <w:widowControl w:val="0"/>
        <w:autoSpaceDE w:val="0"/>
        <w:autoSpaceDN w:val="0"/>
        <w:adjustRightInd w:val="0"/>
        <w:ind w:firstLine="709"/>
        <w:jc w:val="both"/>
        <w:outlineLvl w:val="0"/>
        <w:rPr>
          <w:color w:val="000000"/>
          <w:sz w:val="28"/>
          <w:szCs w:val="28"/>
        </w:rPr>
      </w:pPr>
      <w:r w:rsidRPr="00CD410E">
        <w:rPr>
          <w:color w:val="000000"/>
          <w:sz w:val="28"/>
          <w:szCs w:val="28"/>
        </w:rPr>
        <w:t xml:space="preserve">Санкционирование оплаты денежных обязательств получателей средств федерального бюджета и администраторов источников внутреннего финансирования дефицита федерального бюджета (2024 год), </w:t>
      </w:r>
    </w:p>
    <w:p w:rsidR="00EB19E1" w:rsidRPr="00CD410E" w:rsidRDefault="00EB19E1" w:rsidP="00EB19E1">
      <w:pPr>
        <w:widowControl w:val="0"/>
        <w:autoSpaceDE w:val="0"/>
        <w:autoSpaceDN w:val="0"/>
        <w:adjustRightInd w:val="0"/>
        <w:ind w:firstLine="709"/>
        <w:jc w:val="both"/>
        <w:outlineLvl w:val="0"/>
        <w:rPr>
          <w:color w:val="000000"/>
          <w:sz w:val="28"/>
          <w:szCs w:val="28"/>
        </w:rPr>
      </w:pPr>
      <w:r w:rsidRPr="00CD410E">
        <w:rPr>
          <w:color w:val="000000"/>
          <w:sz w:val="28"/>
          <w:szCs w:val="28"/>
        </w:rPr>
        <w:t xml:space="preserve">Осуществление возврата клиентам документов без исполнения (2025 год), </w:t>
      </w:r>
    </w:p>
    <w:p w:rsidR="00EB19E1" w:rsidRPr="00CD410E" w:rsidRDefault="00EB19E1" w:rsidP="00EB19E1">
      <w:pPr>
        <w:widowControl w:val="0"/>
        <w:autoSpaceDE w:val="0"/>
        <w:autoSpaceDN w:val="0"/>
        <w:adjustRightInd w:val="0"/>
        <w:ind w:firstLine="709"/>
        <w:jc w:val="both"/>
        <w:outlineLvl w:val="0"/>
        <w:rPr>
          <w:color w:val="000000"/>
          <w:sz w:val="28"/>
          <w:szCs w:val="28"/>
        </w:rPr>
      </w:pPr>
      <w:r w:rsidRPr="00CD410E">
        <w:rPr>
          <w:color w:val="000000"/>
          <w:sz w:val="28"/>
          <w:szCs w:val="28"/>
        </w:rPr>
        <w:t>Соблюдение порядка возврата документ</w:t>
      </w:r>
      <w:r w:rsidR="00AD5086">
        <w:rPr>
          <w:color w:val="000000"/>
          <w:sz w:val="28"/>
          <w:szCs w:val="28"/>
        </w:rPr>
        <w:t xml:space="preserve">ов с оформлением соответствующего </w:t>
      </w:r>
      <w:r w:rsidRPr="00CD410E">
        <w:rPr>
          <w:color w:val="000000"/>
          <w:sz w:val="28"/>
          <w:szCs w:val="28"/>
        </w:rPr>
        <w:t xml:space="preserve">Протокола (2022, 2023 годы), </w:t>
      </w:r>
    </w:p>
    <w:p w:rsidR="00EB19E1" w:rsidRPr="00CD410E" w:rsidRDefault="00EB19E1" w:rsidP="00EB19E1">
      <w:pPr>
        <w:widowControl w:val="0"/>
        <w:autoSpaceDE w:val="0"/>
        <w:autoSpaceDN w:val="0"/>
        <w:adjustRightInd w:val="0"/>
        <w:ind w:firstLine="709"/>
        <w:jc w:val="both"/>
        <w:outlineLvl w:val="0"/>
        <w:rPr>
          <w:color w:val="000000"/>
          <w:sz w:val="28"/>
          <w:szCs w:val="28"/>
        </w:rPr>
      </w:pPr>
      <w:r w:rsidRPr="00CD410E">
        <w:rPr>
          <w:color w:val="000000"/>
          <w:sz w:val="28"/>
          <w:szCs w:val="28"/>
        </w:rPr>
        <w:t>Соблюдение требований законодательных и нормативных правовых актов Российской Федерации по исполнению судебных актов по обращению на средства бюджетов (2022, 2023 годы),</w:t>
      </w:r>
    </w:p>
    <w:p w:rsidR="00EB19E1" w:rsidRPr="00CD410E" w:rsidRDefault="00EB19E1" w:rsidP="00EB19E1">
      <w:pPr>
        <w:widowControl w:val="0"/>
        <w:autoSpaceDE w:val="0"/>
        <w:autoSpaceDN w:val="0"/>
        <w:adjustRightInd w:val="0"/>
        <w:ind w:firstLine="709"/>
        <w:jc w:val="both"/>
        <w:outlineLvl w:val="0"/>
        <w:rPr>
          <w:color w:val="000000"/>
          <w:sz w:val="28"/>
          <w:szCs w:val="28"/>
        </w:rPr>
      </w:pPr>
      <w:r w:rsidRPr="00CD410E">
        <w:rPr>
          <w:color w:val="000000"/>
          <w:sz w:val="28"/>
          <w:szCs w:val="28"/>
        </w:rPr>
        <w:t xml:space="preserve">Осуществление работы с электронной подписью (2024, 2025 годы), </w:t>
      </w:r>
    </w:p>
    <w:p w:rsidR="00EB19E1" w:rsidRPr="00CD410E" w:rsidRDefault="00EB19E1" w:rsidP="00EB19E1">
      <w:pPr>
        <w:widowControl w:val="0"/>
        <w:autoSpaceDE w:val="0"/>
        <w:autoSpaceDN w:val="0"/>
        <w:adjustRightInd w:val="0"/>
        <w:ind w:firstLine="709"/>
        <w:jc w:val="both"/>
        <w:outlineLvl w:val="0"/>
        <w:rPr>
          <w:color w:val="000000"/>
          <w:sz w:val="28"/>
          <w:szCs w:val="28"/>
        </w:rPr>
      </w:pPr>
      <w:r w:rsidRPr="00CD410E">
        <w:rPr>
          <w:color w:val="000000"/>
          <w:sz w:val="28"/>
          <w:szCs w:val="28"/>
        </w:rPr>
        <w:t xml:space="preserve">Использование технологических (технических) регламентов Федерального казначейства, в части осуществления функций по соответствующему направлению деятельности Отдела №1 (2025 год), </w:t>
      </w:r>
    </w:p>
    <w:p w:rsidR="00EB19E1" w:rsidRPr="00CD410E" w:rsidRDefault="00EB19E1" w:rsidP="00EB19E1">
      <w:pPr>
        <w:widowControl w:val="0"/>
        <w:autoSpaceDE w:val="0"/>
        <w:autoSpaceDN w:val="0"/>
        <w:adjustRightInd w:val="0"/>
        <w:ind w:firstLine="709"/>
        <w:jc w:val="both"/>
        <w:outlineLvl w:val="0"/>
        <w:rPr>
          <w:color w:val="000000"/>
          <w:sz w:val="28"/>
          <w:szCs w:val="28"/>
        </w:rPr>
      </w:pPr>
      <w:r w:rsidRPr="00CD410E">
        <w:rPr>
          <w:color w:val="000000"/>
          <w:sz w:val="28"/>
          <w:szCs w:val="28"/>
        </w:rPr>
        <w:t xml:space="preserve">Использование технологических (технических) регламентов Федерального казначейства, относящихся к функциям Отдела (2024 годы), </w:t>
      </w:r>
    </w:p>
    <w:p w:rsidR="00EB19E1" w:rsidRPr="00CD410E" w:rsidRDefault="00EB19E1" w:rsidP="00EB19E1">
      <w:pPr>
        <w:widowControl w:val="0"/>
        <w:autoSpaceDE w:val="0"/>
        <w:autoSpaceDN w:val="0"/>
        <w:adjustRightInd w:val="0"/>
        <w:ind w:firstLine="709"/>
        <w:jc w:val="both"/>
        <w:outlineLvl w:val="0"/>
        <w:rPr>
          <w:color w:val="000000"/>
          <w:sz w:val="28"/>
          <w:szCs w:val="28"/>
        </w:rPr>
      </w:pPr>
      <w:r w:rsidRPr="00CD410E">
        <w:rPr>
          <w:color w:val="000000"/>
          <w:sz w:val="28"/>
          <w:szCs w:val="28"/>
        </w:rPr>
        <w:t>Использование технологических регламентов Федерального казначейства в части осуществления функций по соответствующему направлению деятельности УФК (2022, 2023 годы), Ведение лицевых счетов клиентов (2024, 2025 годы),</w:t>
      </w:r>
    </w:p>
    <w:p w:rsidR="00EB19E1" w:rsidRPr="00CD410E" w:rsidRDefault="00EB19E1" w:rsidP="00EB19E1">
      <w:pPr>
        <w:widowControl w:val="0"/>
        <w:autoSpaceDE w:val="0"/>
        <w:autoSpaceDN w:val="0"/>
        <w:adjustRightInd w:val="0"/>
        <w:ind w:firstLine="709"/>
        <w:jc w:val="both"/>
        <w:outlineLvl w:val="0"/>
        <w:rPr>
          <w:color w:val="000000"/>
          <w:sz w:val="28"/>
          <w:szCs w:val="28"/>
        </w:rPr>
      </w:pPr>
      <w:r w:rsidRPr="00CD410E">
        <w:rPr>
          <w:color w:val="000000"/>
          <w:sz w:val="28"/>
          <w:szCs w:val="28"/>
        </w:rPr>
        <w:t>Осуществление контроля за ведением операций со средствами местных бюджетов получателями бюджетных средств (2025 год),</w:t>
      </w:r>
    </w:p>
    <w:p w:rsidR="00EB19E1" w:rsidRPr="00CD410E" w:rsidRDefault="00EB19E1" w:rsidP="00EB19E1">
      <w:pPr>
        <w:widowControl w:val="0"/>
        <w:autoSpaceDE w:val="0"/>
        <w:autoSpaceDN w:val="0"/>
        <w:adjustRightInd w:val="0"/>
        <w:ind w:firstLine="709"/>
        <w:jc w:val="both"/>
        <w:outlineLvl w:val="0"/>
        <w:rPr>
          <w:color w:val="000000"/>
          <w:sz w:val="28"/>
          <w:szCs w:val="28"/>
        </w:rPr>
      </w:pPr>
      <w:r w:rsidRPr="00CD410E">
        <w:rPr>
          <w:color w:val="000000"/>
          <w:sz w:val="28"/>
          <w:szCs w:val="28"/>
        </w:rPr>
        <w:t>Учет невыясненных поступлений (2024, 2025 годы),</w:t>
      </w:r>
    </w:p>
    <w:p w:rsidR="00EB19E1" w:rsidRPr="00CD410E" w:rsidRDefault="00EB19E1" w:rsidP="00EB19E1">
      <w:pPr>
        <w:widowControl w:val="0"/>
        <w:autoSpaceDE w:val="0"/>
        <w:autoSpaceDN w:val="0"/>
        <w:adjustRightInd w:val="0"/>
        <w:ind w:firstLine="709"/>
        <w:jc w:val="both"/>
        <w:outlineLvl w:val="0"/>
        <w:rPr>
          <w:color w:val="000000"/>
          <w:sz w:val="28"/>
          <w:szCs w:val="28"/>
        </w:rPr>
      </w:pPr>
      <w:r w:rsidRPr="00CD410E">
        <w:rPr>
          <w:color w:val="000000"/>
          <w:sz w:val="28"/>
          <w:szCs w:val="28"/>
        </w:rPr>
        <w:t>Проведение и учет операций по казначейским платежам из местных бюджетов от имени и по поручению клиентов, лицевые счета которых открыты в УФК и обслуживаются в Отделе №1 (2025 год),</w:t>
      </w:r>
    </w:p>
    <w:p w:rsidR="00EB19E1" w:rsidRPr="00CD410E" w:rsidRDefault="00EB19E1" w:rsidP="00EB19E1">
      <w:pPr>
        <w:widowControl w:val="0"/>
        <w:autoSpaceDE w:val="0"/>
        <w:autoSpaceDN w:val="0"/>
        <w:adjustRightInd w:val="0"/>
        <w:ind w:firstLine="709"/>
        <w:jc w:val="both"/>
        <w:outlineLvl w:val="0"/>
        <w:rPr>
          <w:color w:val="000000"/>
          <w:sz w:val="28"/>
          <w:szCs w:val="28"/>
        </w:rPr>
      </w:pPr>
      <w:r w:rsidRPr="00CD410E">
        <w:rPr>
          <w:color w:val="000000"/>
          <w:sz w:val="28"/>
          <w:szCs w:val="28"/>
        </w:rPr>
        <w:t xml:space="preserve">Проведение и учет операций по перечислениям из бюджета субъекта Российской Федерации (местных бюджетов), бюджетов государственных </w:t>
      </w:r>
      <w:r w:rsidRPr="00CD410E">
        <w:rPr>
          <w:color w:val="000000"/>
          <w:sz w:val="28"/>
          <w:szCs w:val="28"/>
        </w:rPr>
        <w:lastRenderedPageBreak/>
        <w:t>внебюджетных фондов от имени и по поручению клиентов, лицевые счета которых открыты в УФК (2024 год),</w:t>
      </w:r>
    </w:p>
    <w:p w:rsidR="00EB19E1" w:rsidRPr="00CD410E" w:rsidRDefault="00EB19E1" w:rsidP="00EB19E1">
      <w:pPr>
        <w:widowControl w:val="0"/>
        <w:autoSpaceDE w:val="0"/>
        <w:autoSpaceDN w:val="0"/>
        <w:adjustRightInd w:val="0"/>
        <w:ind w:firstLine="709"/>
        <w:jc w:val="both"/>
        <w:outlineLvl w:val="0"/>
        <w:rPr>
          <w:color w:val="000000"/>
          <w:sz w:val="28"/>
          <w:szCs w:val="28"/>
        </w:rPr>
      </w:pPr>
      <w:r w:rsidRPr="00CD410E">
        <w:rPr>
          <w:color w:val="000000"/>
          <w:sz w:val="28"/>
          <w:szCs w:val="28"/>
        </w:rPr>
        <w:t>Своевременность предоставления клиентам: Выписки из лицевого счета, Приложений к Выпискам из лицевого счета (2022, 2023 годы),</w:t>
      </w:r>
    </w:p>
    <w:p w:rsidR="00EB19E1" w:rsidRPr="00CD410E" w:rsidRDefault="00EB19E1" w:rsidP="00EB19E1">
      <w:pPr>
        <w:widowControl w:val="0"/>
        <w:autoSpaceDE w:val="0"/>
        <w:autoSpaceDN w:val="0"/>
        <w:adjustRightInd w:val="0"/>
        <w:ind w:firstLine="709"/>
        <w:jc w:val="both"/>
        <w:outlineLvl w:val="0"/>
        <w:rPr>
          <w:color w:val="000000"/>
          <w:sz w:val="28"/>
          <w:szCs w:val="28"/>
        </w:rPr>
      </w:pPr>
      <w:r w:rsidRPr="00CD410E">
        <w:rPr>
          <w:color w:val="000000"/>
          <w:sz w:val="28"/>
          <w:szCs w:val="28"/>
        </w:rPr>
        <w:t>Правильность формирования показателей Заявки на кассовый расход (2022 год),</w:t>
      </w:r>
    </w:p>
    <w:p w:rsidR="00EB19E1" w:rsidRPr="00CD410E" w:rsidRDefault="00EB19E1" w:rsidP="00EB19E1">
      <w:pPr>
        <w:widowControl w:val="0"/>
        <w:autoSpaceDE w:val="0"/>
        <w:autoSpaceDN w:val="0"/>
        <w:adjustRightInd w:val="0"/>
        <w:ind w:firstLine="709"/>
        <w:jc w:val="both"/>
        <w:outlineLvl w:val="0"/>
        <w:rPr>
          <w:color w:val="000000"/>
          <w:sz w:val="28"/>
          <w:szCs w:val="28"/>
        </w:rPr>
      </w:pPr>
      <w:r w:rsidRPr="00CD410E">
        <w:rPr>
          <w:color w:val="000000"/>
          <w:sz w:val="28"/>
          <w:szCs w:val="28"/>
        </w:rPr>
        <w:t>Осуществление работы с электронной подписью (2024, 2025 годы),</w:t>
      </w:r>
    </w:p>
    <w:p w:rsidR="00EB19E1" w:rsidRPr="00CD410E" w:rsidRDefault="00EB19E1" w:rsidP="00EB19E1">
      <w:pPr>
        <w:widowControl w:val="0"/>
        <w:autoSpaceDE w:val="0"/>
        <w:autoSpaceDN w:val="0"/>
        <w:adjustRightInd w:val="0"/>
        <w:ind w:firstLine="709"/>
        <w:jc w:val="both"/>
        <w:outlineLvl w:val="0"/>
        <w:rPr>
          <w:color w:val="000000"/>
          <w:sz w:val="28"/>
          <w:szCs w:val="28"/>
        </w:rPr>
      </w:pPr>
      <w:r w:rsidRPr="00CD410E">
        <w:rPr>
          <w:color w:val="000000"/>
          <w:sz w:val="28"/>
          <w:szCs w:val="28"/>
        </w:rPr>
        <w:t>Использование технологических (технических) регламентов Федерального казначейства, в части осуществления функций по соответствующему направлению деятельности Отдела №1 (2025 год),</w:t>
      </w:r>
    </w:p>
    <w:p w:rsidR="00EB19E1" w:rsidRPr="00CD410E" w:rsidRDefault="00EB19E1" w:rsidP="00EB19E1">
      <w:pPr>
        <w:widowControl w:val="0"/>
        <w:autoSpaceDE w:val="0"/>
        <w:autoSpaceDN w:val="0"/>
        <w:adjustRightInd w:val="0"/>
        <w:ind w:firstLine="709"/>
        <w:jc w:val="both"/>
        <w:outlineLvl w:val="0"/>
        <w:rPr>
          <w:color w:val="000000"/>
          <w:sz w:val="28"/>
          <w:szCs w:val="28"/>
        </w:rPr>
      </w:pPr>
      <w:r w:rsidRPr="00CD410E">
        <w:rPr>
          <w:color w:val="000000"/>
          <w:sz w:val="28"/>
          <w:szCs w:val="28"/>
        </w:rPr>
        <w:t>Использование технологических регламентов Федерального казначейства в части осуществления функций по соответствующему направлению деятельности УФК (2022, 2023 годы) – оценивается как высокая, нарушения (недостатки) в деятельности Отдела по указанным предметам внутреннего контроля не выявлены;</w:t>
      </w:r>
    </w:p>
    <w:p w:rsidR="00EB19E1" w:rsidRPr="00CD410E" w:rsidRDefault="00EB19E1" w:rsidP="00EB19E1">
      <w:pPr>
        <w:widowControl w:val="0"/>
        <w:autoSpaceDE w:val="0"/>
        <w:autoSpaceDN w:val="0"/>
        <w:adjustRightInd w:val="0"/>
        <w:ind w:firstLine="709"/>
        <w:jc w:val="both"/>
        <w:outlineLvl w:val="0"/>
        <w:rPr>
          <w:color w:val="000000"/>
          <w:sz w:val="28"/>
          <w:szCs w:val="28"/>
        </w:rPr>
      </w:pPr>
      <w:r w:rsidRPr="00CD410E">
        <w:rPr>
          <w:color w:val="000000"/>
          <w:sz w:val="28"/>
          <w:szCs w:val="28"/>
        </w:rPr>
        <w:t>Санкционирование операций со средствами, поступающими во временное распоряжение получателей средств федерального бюджета (2025 год),</w:t>
      </w:r>
    </w:p>
    <w:p w:rsidR="00EB19E1" w:rsidRPr="00CD410E" w:rsidRDefault="00EB19E1" w:rsidP="00EB19E1">
      <w:pPr>
        <w:widowControl w:val="0"/>
        <w:autoSpaceDE w:val="0"/>
        <w:autoSpaceDN w:val="0"/>
        <w:adjustRightInd w:val="0"/>
        <w:ind w:firstLine="709"/>
        <w:jc w:val="both"/>
        <w:outlineLvl w:val="0"/>
        <w:rPr>
          <w:color w:val="000000"/>
          <w:sz w:val="28"/>
          <w:szCs w:val="28"/>
        </w:rPr>
      </w:pPr>
      <w:r w:rsidRPr="00CD410E">
        <w:rPr>
          <w:color w:val="000000"/>
          <w:sz w:val="28"/>
          <w:szCs w:val="28"/>
        </w:rPr>
        <w:t>Осуществление возврата клиентам документов без исполнения (2024 год) – оценивается как высокая, выявлено единичное нарушение, уровень риска по которому – низкий;</w:t>
      </w:r>
    </w:p>
    <w:p w:rsidR="00EB19E1" w:rsidRPr="00CD410E" w:rsidRDefault="00EB19E1" w:rsidP="00EB19E1">
      <w:pPr>
        <w:widowControl w:val="0"/>
        <w:autoSpaceDE w:val="0"/>
        <w:autoSpaceDN w:val="0"/>
        <w:adjustRightInd w:val="0"/>
        <w:ind w:firstLine="709"/>
        <w:jc w:val="both"/>
        <w:outlineLvl w:val="0"/>
        <w:rPr>
          <w:color w:val="000000"/>
          <w:sz w:val="28"/>
          <w:szCs w:val="28"/>
        </w:rPr>
      </w:pPr>
      <w:r w:rsidRPr="00CD410E">
        <w:rPr>
          <w:color w:val="000000"/>
          <w:sz w:val="28"/>
          <w:szCs w:val="28"/>
        </w:rPr>
        <w:t>Организация исполнения судебных актов, предусматривающих обращение взыскания на средства бюджетов бюджетной системы Российской Федерации федеральных казенных учреждений (2025 год),</w:t>
      </w:r>
    </w:p>
    <w:p w:rsidR="00EB19E1" w:rsidRPr="00CD410E" w:rsidRDefault="00EB19E1" w:rsidP="00EB19E1">
      <w:pPr>
        <w:widowControl w:val="0"/>
        <w:autoSpaceDE w:val="0"/>
        <w:autoSpaceDN w:val="0"/>
        <w:adjustRightInd w:val="0"/>
        <w:ind w:firstLine="709"/>
        <w:jc w:val="both"/>
        <w:outlineLvl w:val="0"/>
        <w:rPr>
          <w:color w:val="000000"/>
          <w:sz w:val="28"/>
          <w:szCs w:val="28"/>
        </w:rPr>
      </w:pPr>
      <w:r w:rsidRPr="00CD410E">
        <w:rPr>
          <w:color w:val="000000"/>
          <w:sz w:val="28"/>
          <w:szCs w:val="28"/>
        </w:rPr>
        <w:t xml:space="preserve">Исполнение судебных актов, решений о взыскании задолженности за счет денежных средств, отраженных на лицевых счетах налогоплательщика (плательщика сбора, плательщика страховых взносов, налогового агента, иного лица), предусматривающих обращение взыскания на средства бюджетов бюджетной системы Российской Федерации (2024 год), </w:t>
      </w:r>
    </w:p>
    <w:p w:rsidR="00EB19E1" w:rsidRPr="00CD410E" w:rsidRDefault="00EB19E1" w:rsidP="00EB19E1">
      <w:pPr>
        <w:widowControl w:val="0"/>
        <w:autoSpaceDE w:val="0"/>
        <w:autoSpaceDN w:val="0"/>
        <w:adjustRightInd w:val="0"/>
        <w:ind w:firstLine="709"/>
        <w:jc w:val="both"/>
        <w:outlineLvl w:val="0"/>
        <w:rPr>
          <w:color w:val="000000"/>
          <w:sz w:val="28"/>
          <w:szCs w:val="28"/>
        </w:rPr>
      </w:pPr>
      <w:r w:rsidRPr="00CD410E">
        <w:rPr>
          <w:color w:val="000000"/>
          <w:sz w:val="28"/>
          <w:szCs w:val="28"/>
        </w:rPr>
        <w:t xml:space="preserve">Управление внутренними (операционными) казначейскими рисками, осуществление внутреннего контроля в Отделе №1 (2025 год), </w:t>
      </w:r>
    </w:p>
    <w:p w:rsidR="00EB19E1" w:rsidRPr="00CD410E" w:rsidRDefault="00EB19E1" w:rsidP="00EB19E1">
      <w:pPr>
        <w:widowControl w:val="0"/>
        <w:autoSpaceDE w:val="0"/>
        <w:autoSpaceDN w:val="0"/>
        <w:adjustRightInd w:val="0"/>
        <w:ind w:firstLine="709"/>
        <w:jc w:val="both"/>
        <w:outlineLvl w:val="0"/>
        <w:rPr>
          <w:color w:val="000000"/>
          <w:sz w:val="28"/>
          <w:szCs w:val="28"/>
        </w:rPr>
      </w:pPr>
      <w:r w:rsidRPr="00CD410E">
        <w:rPr>
          <w:color w:val="000000"/>
          <w:sz w:val="28"/>
          <w:szCs w:val="28"/>
        </w:rPr>
        <w:t>Управление внутренними (операционными) казначейскими рисками, осуществление внутреннего контроля (2024 год) - оценивается как средняя, выявлены нарушения в деятельности Отдела, уровень риска по которым – значимый, а также нарушения и недостатки с уровнем риска средний и низкий;</w:t>
      </w:r>
    </w:p>
    <w:p w:rsidR="00EB19E1" w:rsidRPr="00CD410E" w:rsidRDefault="00EB19E1" w:rsidP="00EB19E1">
      <w:pPr>
        <w:widowControl w:val="0"/>
        <w:autoSpaceDE w:val="0"/>
        <w:autoSpaceDN w:val="0"/>
        <w:adjustRightInd w:val="0"/>
        <w:ind w:firstLine="709"/>
        <w:jc w:val="both"/>
        <w:outlineLvl w:val="0"/>
        <w:rPr>
          <w:color w:val="000000"/>
          <w:sz w:val="28"/>
          <w:szCs w:val="28"/>
        </w:rPr>
      </w:pPr>
      <w:r w:rsidRPr="00CD410E">
        <w:rPr>
          <w:color w:val="000000"/>
          <w:sz w:val="28"/>
          <w:szCs w:val="28"/>
        </w:rPr>
        <w:t>Правильность проверки Распоряжений о совершении казначейского платежа (2023 год),</w:t>
      </w:r>
    </w:p>
    <w:p w:rsidR="00EB19E1" w:rsidRPr="00CD410E" w:rsidRDefault="00EB19E1" w:rsidP="00EB19E1">
      <w:pPr>
        <w:widowControl w:val="0"/>
        <w:autoSpaceDE w:val="0"/>
        <w:autoSpaceDN w:val="0"/>
        <w:adjustRightInd w:val="0"/>
        <w:ind w:firstLine="709"/>
        <w:jc w:val="both"/>
        <w:outlineLvl w:val="0"/>
        <w:rPr>
          <w:color w:val="000000"/>
          <w:sz w:val="28"/>
          <w:szCs w:val="28"/>
        </w:rPr>
      </w:pPr>
      <w:r w:rsidRPr="00CD410E">
        <w:rPr>
          <w:color w:val="000000"/>
          <w:sz w:val="28"/>
          <w:szCs w:val="28"/>
        </w:rPr>
        <w:t>Организация исполнения судебных актов, предусматривающих обращение взыскания на средства бюджетов бюджетной системы Российской Федерации муниципальных к</w:t>
      </w:r>
      <w:r w:rsidR="00AD5086">
        <w:rPr>
          <w:color w:val="000000"/>
          <w:sz w:val="28"/>
          <w:szCs w:val="28"/>
        </w:rPr>
        <w:t>азенных учреждений (2025 год),</w:t>
      </w:r>
      <w:bookmarkStart w:id="0" w:name="_GoBack"/>
      <w:bookmarkEnd w:id="0"/>
    </w:p>
    <w:p w:rsidR="00EB19E1" w:rsidRPr="00CD410E" w:rsidRDefault="00EB19E1" w:rsidP="00EB19E1">
      <w:pPr>
        <w:widowControl w:val="0"/>
        <w:autoSpaceDE w:val="0"/>
        <w:autoSpaceDN w:val="0"/>
        <w:adjustRightInd w:val="0"/>
        <w:ind w:firstLine="709"/>
        <w:jc w:val="both"/>
        <w:outlineLvl w:val="0"/>
        <w:rPr>
          <w:color w:val="000000"/>
          <w:sz w:val="28"/>
          <w:szCs w:val="28"/>
        </w:rPr>
      </w:pPr>
      <w:r w:rsidRPr="00CD410E">
        <w:rPr>
          <w:color w:val="000000"/>
          <w:sz w:val="28"/>
          <w:szCs w:val="28"/>
        </w:rPr>
        <w:t xml:space="preserve">Использование технологических (технических) регламентов Федерального казначейства, относящихся к функциям Отдела (2024 год) - оценивается как средняя, выявлены нарушения в деятельности Отдела уровень риска по которым – значимый. </w:t>
      </w:r>
    </w:p>
    <w:p w:rsidR="00DD3FDF" w:rsidRDefault="00EB19E1" w:rsidP="007B689B">
      <w:pPr>
        <w:ind w:firstLine="708"/>
        <w:jc w:val="both"/>
      </w:pPr>
      <w:r w:rsidRPr="00CD410E">
        <w:rPr>
          <w:color w:val="000000"/>
          <w:sz w:val="28"/>
          <w:szCs w:val="28"/>
        </w:rPr>
        <w:t xml:space="preserve">Функционирование системы управления внутренними рисками признается неэффективным в связи с тем, что по результатам проверки выявлены нарушения и недостатки по предметам внутреннего контроля, включенным в Карты внутреннего </w:t>
      </w:r>
      <w:r w:rsidRPr="00CD410E">
        <w:rPr>
          <w:color w:val="000000"/>
          <w:sz w:val="28"/>
          <w:szCs w:val="28"/>
        </w:rPr>
        <w:lastRenderedPageBreak/>
        <w:t>контроля Отдела на соответствующий год, уровень риска по которым в соответствии с Классификатором № 481 определен как значимый.</w:t>
      </w:r>
    </w:p>
    <w:sectPr w:rsidR="00DD3FDF" w:rsidSect="006E6207">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84B"/>
    <w:rsid w:val="0022484B"/>
    <w:rsid w:val="003301DE"/>
    <w:rsid w:val="007B689B"/>
    <w:rsid w:val="007C0215"/>
    <w:rsid w:val="00AD5086"/>
    <w:rsid w:val="00B0411F"/>
    <w:rsid w:val="00B45A97"/>
    <w:rsid w:val="00C47CAD"/>
    <w:rsid w:val="00E55172"/>
    <w:rsid w:val="00EB1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CA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C47CAD"/>
    <w:pPr>
      <w:spacing w:after="120"/>
    </w:pPr>
    <w:rPr>
      <w:rFonts w:cs="Courier New"/>
      <w:sz w:val="26"/>
      <w:szCs w:val="26"/>
    </w:rPr>
  </w:style>
  <w:style w:type="character" w:customStyle="1" w:styleId="a4">
    <w:name w:val="Основной текст Знак"/>
    <w:basedOn w:val="a0"/>
    <w:link w:val="a3"/>
    <w:semiHidden/>
    <w:rsid w:val="00C47CAD"/>
    <w:rPr>
      <w:rFonts w:ascii="Times New Roman" w:eastAsia="Times New Roman" w:hAnsi="Times New Roman" w:cs="Courier New"/>
      <w:sz w:val="26"/>
      <w:szCs w:val="26"/>
      <w:lang w:eastAsia="ru-RU"/>
    </w:rPr>
  </w:style>
  <w:style w:type="character" w:customStyle="1" w:styleId="ConsPlusNonformat">
    <w:name w:val="ConsPlusNonformat Знак"/>
    <w:link w:val="ConsPlusNonformat0"/>
    <w:locked/>
    <w:rsid w:val="00C47CAD"/>
    <w:rPr>
      <w:rFonts w:ascii="Courier New" w:eastAsia="Times New Roman" w:hAnsi="Courier New" w:cs="Courier New"/>
      <w:sz w:val="20"/>
      <w:szCs w:val="20"/>
      <w:lang w:eastAsia="ru-RU"/>
    </w:rPr>
  </w:style>
  <w:style w:type="paragraph" w:customStyle="1" w:styleId="ConsPlusNonformat0">
    <w:name w:val="ConsPlusNonformat"/>
    <w:link w:val="ConsPlusNonformat"/>
    <w:rsid w:val="00C47CA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OTRNormal">
    <w:name w:val="OTR_Normal"/>
    <w:basedOn w:val="a"/>
    <w:link w:val="OTRNormal0"/>
    <w:rsid w:val="003301DE"/>
    <w:pPr>
      <w:suppressAutoHyphens/>
      <w:spacing w:before="60" w:after="120"/>
      <w:ind w:firstLine="567"/>
      <w:jc w:val="both"/>
    </w:pPr>
    <w:rPr>
      <w:szCs w:val="20"/>
      <w:lang w:eastAsia="zh-CN"/>
    </w:rPr>
  </w:style>
  <w:style w:type="character" w:customStyle="1" w:styleId="OTRNormal0">
    <w:name w:val="OTR_Normal Знак"/>
    <w:link w:val="OTRNormal"/>
    <w:rsid w:val="003301DE"/>
    <w:rPr>
      <w:rFonts w:ascii="Times New Roman" w:eastAsia="Times New Roman" w:hAnsi="Times New Roman" w:cs="Times New Roman"/>
      <w:sz w:val="24"/>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CA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C47CAD"/>
    <w:pPr>
      <w:spacing w:after="120"/>
    </w:pPr>
    <w:rPr>
      <w:rFonts w:cs="Courier New"/>
      <w:sz w:val="26"/>
      <w:szCs w:val="26"/>
    </w:rPr>
  </w:style>
  <w:style w:type="character" w:customStyle="1" w:styleId="a4">
    <w:name w:val="Основной текст Знак"/>
    <w:basedOn w:val="a0"/>
    <w:link w:val="a3"/>
    <w:semiHidden/>
    <w:rsid w:val="00C47CAD"/>
    <w:rPr>
      <w:rFonts w:ascii="Times New Roman" w:eastAsia="Times New Roman" w:hAnsi="Times New Roman" w:cs="Courier New"/>
      <w:sz w:val="26"/>
      <w:szCs w:val="26"/>
      <w:lang w:eastAsia="ru-RU"/>
    </w:rPr>
  </w:style>
  <w:style w:type="character" w:customStyle="1" w:styleId="ConsPlusNonformat">
    <w:name w:val="ConsPlusNonformat Знак"/>
    <w:link w:val="ConsPlusNonformat0"/>
    <w:locked/>
    <w:rsid w:val="00C47CAD"/>
    <w:rPr>
      <w:rFonts w:ascii="Courier New" w:eastAsia="Times New Roman" w:hAnsi="Courier New" w:cs="Courier New"/>
      <w:sz w:val="20"/>
      <w:szCs w:val="20"/>
      <w:lang w:eastAsia="ru-RU"/>
    </w:rPr>
  </w:style>
  <w:style w:type="paragraph" w:customStyle="1" w:styleId="ConsPlusNonformat0">
    <w:name w:val="ConsPlusNonformat"/>
    <w:link w:val="ConsPlusNonformat"/>
    <w:rsid w:val="00C47CA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OTRNormal">
    <w:name w:val="OTR_Normal"/>
    <w:basedOn w:val="a"/>
    <w:link w:val="OTRNormal0"/>
    <w:rsid w:val="003301DE"/>
    <w:pPr>
      <w:suppressAutoHyphens/>
      <w:spacing w:before="60" w:after="120"/>
      <w:ind w:firstLine="567"/>
      <w:jc w:val="both"/>
    </w:pPr>
    <w:rPr>
      <w:szCs w:val="20"/>
      <w:lang w:eastAsia="zh-CN"/>
    </w:rPr>
  </w:style>
  <w:style w:type="character" w:customStyle="1" w:styleId="OTRNormal0">
    <w:name w:val="OTR_Normal Знак"/>
    <w:link w:val="OTRNormal"/>
    <w:rsid w:val="003301DE"/>
    <w:rPr>
      <w:rFonts w:ascii="Times New Roman" w:eastAsia="Times New Roman" w:hAnsi="Times New Roman" w:cs="Times New Roman"/>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1239</Words>
  <Characters>7063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Кривоногова Екатерина Евгеньевна</dc:creator>
  <cp:keywords/>
  <dc:description/>
  <cp:lastModifiedBy>Кривоногова Екатерина Евгеньевна</cp:lastModifiedBy>
  <cp:revision>9</cp:revision>
  <dcterms:created xsi:type="dcterms:W3CDTF">2025-08-18T10:39:00Z</dcterms:created>
  <dcterms:modified xsi:type="dcterms:W3CDTF">2025-08-19T03:43:00Z</dcterms:modified>
</cp:coreProperties>
</file>