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B" w:rsidRPr="00840BE8" w:rsidRDefault="004714FB" w:rsidP="004714FB">
      <w:pPr>
        <w:widowControl w:val="0"/>
        <w:jc w:val="center"/>
        <w:rPr>
          <w:b/>
          <w:sz w:val="28"/>
          <w:szCs w:val="28"/>
        </w:rPr>
      </w:pPr>
      <w:r w:rsidRPr="003A1491">
        <w:rPr>
          <w:b/>
          <w:sz w:val="28"/>
          <w:szCs w:val="28"/>
        </w:rPr>
        <w:t xml:space="preserve">Информация о проведенной проверке деятельности </w:t>
      </w:r>
      <w:r>
        <w:rPr>
          <w:b/>
          <w:sz w:val="28"/>
          <w:szCs w:val="28"/>
        </w:rPr>
        <w:t xml:space="preserve">отдела </w:t>
      </w:r>
      <w:r w:rsidR="00F21A1E">
        <w:rPr>
          <w:b/>
          <w:sz w:val="28"/>
          <w:szCs w:val="28"/>
        </w:rPr>
        <w:t>№ 1</w:t>
      </w:r>
      <w:r w:rsidR="00BE538C" w:rsidRPr="00BE538C">
        <w:rPr>
          <w:b/>
          <w:sz w:val="28"/>
          <w:szCs w:val="28"/>
        </w:rPr>
        <w:t>2</w:t>
      </w:r>
      <w:r w:rsidRPr="003A1491">
        <w:rPr>
          <w:b/>
          <w:sz w:val="28"/>
          <w:szCs w:val="28"/>
        </w:rPr>
        <w:t xml:space="preserve"> Управления</w:t>
      </w:r>
      <w:r w:rsidRPr="00840BE8">
        <w:rPr>
          <w:b/>
          <w:sz w:val="28"/>
          <w:szCs w:val="28"/>
        </w:rPr>
        <w:t xml:space="preserve"> Федерального казначейства по Ханты-Мансийскому</w:t>
      </w:r>
      <w:r>
        <w:rPr>
          <w:b/>
          <w:sz w:val="28"/>
          <w:szCs w:val="28"/>
        </w:rPr>
        <w:t xml:space="preserve"> </w:t>
      </w:r>
      <w:r w:rsidRPr="00840BE8">
        <w:rPr>
          <w:b/>
          <w:sz w:val="28"/>
          <w:szCs w:val="28"/>
        </w:rPr>
        <w:t>автономному округу - Югре</w:t>
      </w:r>
    </w:p>
    <w:p w:rsidR="004714FB" w:rsidRPr="00AE6B1B" w:rsidRDefault="004714FB" w:rsidP="004714FB">
      <w:pPr>
        <w:widowControl w:val="0"/>
        <w:ind w:firstLine="709"/>
        <w:jc w:val="center"/>
        <w:rPr>
          <w:sz w:val="28"/>
          <w:szCs w:val="28"/>
        </w:rPr>
      </w:pPr>
    </w:p>
    <w:p w:rsidR="004714FB" w:rsidRPr="00BE538C" w:rsidRDefault="004714FB" w:rsidP="00BE538C">
      <w:pPr>
        <w:pStyle w:val="a3"/>
        <w:spacing w:after="0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BE538C">
        <w:rPr>
          <w:rFonts w:cs="Times New Roman"/>
          <w:sz w:val="28"/>
          <w:szCs w:val="28"/>
        </w:rPr>
        <w:t xml:space="preserve">Во исполнение приказа Управления Федерального казначейства по Ханты-Мансийскому </w:t>
      </w:r>
      <w:r w:rsidRPr="00BE538C">
        <w:rPr>
          <w:rFonts w:cs="Times New Roman"/>
          <w:spacing w:val="3"/>
          <w:sz w:val="28"/>
          <w:szCs w:val="28"/>
        </w:rPr>
        <w:t xml:space="preserve">автономному округу – Югре (далее - Управление) </w:t>
      </w:r>
      <w:r w:rsidRPr="00BE538C">
        <w:rPr>
          <w:rFonts w:cs="Times New Roman"/>
          <w:sz w:val="28"/>
          <w:szCs w:val="28"/>
        </w:rPr>
        <w:t>от 03.07</w:t>
      </w:r>
      <w:r w:rsidR="00F21A1E" w:rsidRPr="00BE538C">
        <w:rPr>
          <w:rFonts w:cs="Times New Roman"/>
          <w:sz w:val="28"/>
          <w:szCs w:val="28"/>
        </w:rPr>
        <w:t>.2024 № </w:t>
      </w:r>
      <w:r w:rsidRPr="00BE538C">
        <w:rPr>
          <w:rFonts w:cs="Times New Roman"/>
          <w:sz w:val="28"/>
          <w:szCs w:val="28"/>
        </w:rPr>
        <w:t>12</w:t>
      </w:r>
      <w:r w:rsidR="00BE538C" w:rsidRPr="00BE538C">
        <w:rPr>
          <w:rFonts w:cs="Times New Roman"/>
          <w:sz w:val="28"/>
          <w:szCs w:val="28"/>
        </w:rPr>
        <w:t>1</w:t>
      </w:r>
      <w:r w:rsidRPr="00BE538C">
        <w:rPr>
          <w:rFonts w:cs="Times New Roman"/>
          <w:sz w:val="28"/>
          <w:szCs w:val="28"/>
        </w:rPr>
        <w:t>-П «О проведении проверки деятельности отдела № 1</w:t>
      </w:r>
      <w:r w:rsidR="00BE538C" w:rsidRPr="00BE538C">
        <w:rPr>
          <w:rFonts w:cs="Times New Roman"/>
          <w:sz w:val="28"/>
          <w:szCs w:val="28"/>
        </w:rPr>
        <w:t>2</w:t>
      </w:r>
      <w:r w:rsidRPr="00BE538C">
        <w:rPr>
          <w:rFonts w:cs="Times New Roman"/>
          <w:spacing w:val="3"/>
          <w:sz w:val="28"/>
          <w:szCs w:val="28"/>
        </w:rPr>
        <w:t xml:space="preserve">», </w:t>
      </w:r>
      <w:r w:rsidR="00BE538C" w:rsidRPr="00BE538C">
        <w:rPr>
          <w:rFonts w:cs="Times New Roman"/>
          <w:sz w:val="28"/>
          <w:szCs w:val="28"/>
        </w:rPr>
        <w:t>в соответствии с Программой проверки отдела № 12 Управления за период с 01.11.2021 по 31.07.2024, утвержденной руководителем Управления А.В. Цыганенко 09.07.2024 (в редакции изменений, утвержденных руководителем Управления А.В. Цыганенко 20.08.2024)</w:t>
      </w:r>
      <w:r w:rsidRPr="00BE538C">
        <w:rPr>
          <w:rFonts w:cs="Times New Roman"/>
          <w:sz w:val="28"/>
          <w:szCs w:val="28"/>
        </w:rPr>
        <w:t xml:space="preserve">, </w:t>
      </w:r>
      <w:r w:rsidR="00F21A1E" w:rsidRPr="00BE538C">
        <w:rPr>
          <w:rFonts w:cs="Times New Roman"/>
          <w:sz w:val="28"/>
          <w:szCs w:val="28"/>
        </w:rPr>
        <w:t>ответственным работником</w:t>
      </w:r>
      <w:r w:rsidRPr="00BE538C">
        <w:rPr>
          <w:rFonts w:cs="Times New Roman"/>
          <w:sz w:val="28"/>
          <w:szCs w:val="28"/>
        </w:rPr>
        <w:t xml:space="preserve"> проведена проверка деятельности отдела </w:t>
      </w:r>
      <w:r w:rsidR="00BE538C" w:rsidRPr="00BE538C">
        <w:rPr>
          <w:rFonts w:cs="Times New Roman"/>
          <w:sz w:val="28"/>
          <w:szCs w:val="28"/>
        </w:rPr>
        <w:t xml:space="preserve">             </w:t>
      </w:r>
      <w:bookmarkStart w:id="0" w:name="_GoBack"/>
      <w:bookmarkEnd w:id="0"/>
      <w:r w:rsidRPr="00BE538C">
        <w:rPr>
          <w:rFonts w:cs="Times New Roman"/>
          <w:sz w:val="28"/>
          <w:szCs w:val="28"/>
        </w:rPr>
        <w:t>№ 1</w:t>
      </w:r>
      <w:r w:rsidR="00BE538C" w:rsidRPr="00BE538C">
        <w:rPr>
          <w:rFonts w:cs="Times New Roman"/>
          <w:sz w:val="28"/>
          <w:szCs w:val="28"/>
        </w:rPr>
        <w:t>2</w:t>
      </w:r>
      <w:proofErr w:type="gramEnd"/>
      <w:r w:rsidRPr="00BE538C">
        <w:rPr>
          <w:rFonts w:cs="Times New Roman"/>
          <w:sz w:val="28"/>
          <w:szCs w:val="28"/>
        </w:rPr>
        <w:t xml:space="preserve"> Управления по теме проверки: </w:t>
      </w:r>
      <w:r w:rsidRPr="00BE538C">
        <w:rPr>
          <w:rFonts w:cs="Times New Roman"/>
          <w:bCs/>
          <w:sz w:val="28"/>
          <w:szCs w:val="28"/>
        </w:rPr>
        <w:t>проверка выполнения отдельных функций.</w:t>
      </w:r>
    </w:p>
    <w:p w:rsidR="004714FB" w:rsidRPr="00BE538C" w:rsidRDefault="004714FB" w:rsidP="004714FB">
      <w:pPr>
        <w:pStyle w:val="a3"/>
        <w:spacing w:after="0"/>
        <w:ind w:firstLine="709"/>
        <w:rPr>
          <w:rFonts w:cs="Times New Roman"/>
          <w:b/>
          <w:sz w:val="28"/>
          <w:szCs w:val="28"/>
        </w:rPr>
      </w:pPr>
      <w:r w:rsidRPr="00BE538C">
        <w:rPr>
          <w:rFonts w:cs="Times New Roman"/>
          <w:b/>
          <w:sz w:val="28"/>
          <w:szCs w:val="28"/>
        </w:rPr>
        <w:t>Проверяемый период:</w:t>
      </w:r>
      <w:r w:rsidRPr="00BE538C">
        <w:rPr>
          <w:rFonts w:cs="Times New Roman"/>
          <w:sz w:val="28"/>
          <w:szCs w:val="28"/>
        </w:rPr>
        <w:t xml:space="preserve"> с 01.</w:t>
      </w:r>
      <w:r w:rsidR="00BE538C" w:rsidRPr="00BE538C">
        <w:rPr>
          <w:rFonts w:cs="Times New Roman"/>
          <w:sz w:val="28"/>
          <w:szCs w:val="28"/>
          <w:lang w:val="en-US"/>
        </w:rPr>
        <w:t>11</w:t>
      </w:r>
      <w:r w:rsidRPr="00BE538C">
        <w:rPr>
          <w:rFonts w:cs="Times New Roman"/>
          <w:sz w:val="28"/>
          <w:szCs w:val="28"/>
        </w:rPr>
        <w:t>.2021 по 3</w:t>
      </w:r>
      <w:r w:rsidR="00BE538C" w:rsidRPr="00BE538C">
        <w:rPr>
          <w:rFonts w:cs="Times New Roman"/>
          <w:sz w:val="28"/>
          <w:szCs w:val="28"/>
          <w:lang w:val="en-US"/>
        </w:rPr>
        <w:t>1</w:t>
      </w:r>
      <w:r w:rsidRPr="00BE538C">
        <w:rPr>
          <w:rFonts w:cs="Times New Roman"/>
          <w:sz w:val="28"/>
          <w:szCs w:val="28"/>
        </w:rPr>
        <w:t>.0</w:t>
      </w:r>
      <w:r w:rsidR="00BE538C" w:rsidRPr="00BE538C">
        <w:rPr>
          <w:rFonts w:cs="Times New Roman"/>
          <w:sz w:val="28"/>
          <w:szCs w:val="28"/>
          <w:lang w:val="en-US"/>
        </w:rPr>
        <w:t>7</w:t>
      </w:r>
      <w:r w:rsidRPr="00BE538C">
        <w:rPr>
          <w:rFonts w:cs="Times New Roman"/>
          <w:sz w:val="28"/>
          <w:szCs w:val="28"/>
        </w:rPr>
        <w:t>.2024.</w:t>
      </w:r>
    </w:p>
    <w:p w:rsidR="00611BBD" w:rsidRPr="00BE538C" w:rsidRDefault="004714FB" w:rsidP="00611BBD">
      <w:pPr>
        <w:ind w:firstLine="709"/>
        <w:jc w:val="both"/>
        <w:rPr>
          <w:sz w:val="28"/>
          <w:szCs w:val="28"/>
        </w:rPr>
      </w:pPr>
      <w:r w:rsidRPr="00BE538C">
        <w:rPr>
          <w:b/>
          <w:sz w:val="28"/>
          <w:szCs w:val="28"/>
        </w:rPr>
        <w:t>Вид проверки:</w:t>
      </w:r>
      <w:r w:rsidRPr="00BE538C">
        <w:rPr>
          <w:sz w:val="28"/>
          <w:szCs w:val="28"/>
        </w:rPr>
        <w:t xml:space="preserve"> </w:t>
      </w:r>
      <w:r w:rsidR="00611BBD" w:rsidRPr="00BE538C">
        <w:rPr>
          <w:sz w:val="28"/>
          <w:szCs w:val="28"/>
        </w:rPr>
        <w:t>камеральная</w:t>
      </w:r>
      <w:r w:rsidRPr="00BE538C">
        <w:rPr>
          <w:sz w:val="28"/>
          <w:szCs w:val="28"/>
        </w:rPr>
        <w:t xml:space="preserve"> проверка.</w:t>
      </w:r>
    </w:p>
    <w:p w:rsidR="00BE538C" w:rsidRPr="00BE538C" w:rsidRDefault="004714FB" w:rsidP="00BE538C">
      <w:pPr>
        <w:ind w:firstLine="709"/>
        <w:jc w:val="both"/>
        <w:outlineLvl w:val="0"/>
        <w:rPr>
          <w:bCs/>
          <w:sz w:val="28"/>
          <w:szCs w:val="28"/>
        </w:rPr>
      </w:pPr>
      <w:proofErr w:type="gramStart"/>
      <w:r w:rsidRPr="00BE538C">
        <w:rPr>
          <w:b/>
          <w:sz w:val="28"/>
          <w:szCs w:val="28"/>
        </w:rPr>
        <w:t>Цель проверки:</w:t>
      </w:r>
      <w:r w:rsidRPr="00BE538C">
        <w:rPr>
          <w:sz w:val="28"/>
          <w:szCs w:val="28"/>
        </w:rPr>
        <w:t xml:space="preserve"> </w:t>
      </w:r>
      <w:r w:rsidR="00BE538C" w:rsidRPr="00BE538C">
        <w:rPr>
          <w:sz w:val="28"/>
          <w:szCs w:val="28"/>
        </w:rPr>
        <w:t xml:space="preserve">установление соответствия деятельности отдела № 12 Управления (далее – Отдел) </w:t>
      </w:r>
      <w:r w:rsidR="00BE538C" w:rsidRPr="00BE538C">
        <w:rPr>
          <w:bCs/>
          <w:sz w:val="28"/>
          <w:szCs w:val="28"/>
        </w:rPr>
        <w:t>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</w:t>
      </w:r>
      <w:proofErr w:type="gramEnd"/>
      <w:r w:rsidR="00BE538C" w:rsidRPr="00BE538C">
        <w:rPr>
          <w:bCs/>
          <w:sz w:val="28"/>
          <w:szCs w:val="28"/>
        </w:rPr>
        <w:t xml:space="preserve"> в части: </w:t>
      </w:r>
    </w:p>
    <w:p w:rsidR="00BE538C" w:rsidRPr="00BE538C" w:rsidRDefault="00BE538C" w:rsidP="00BE538C">
      <w:pPr>
        <w:ind w:firstLine="709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BE538C">
        <w:rPr>
          <w:bCs/>
          <w:sz w:val="28"/>
          <w:szCs w:val="28"/>
        </w:rPr>
        <w:t>о</w:t>
      </w:r>
      <w:r w:rsidRPr="00BE538C">
        <w:rPr>
          <w:rFonts w:eastAsia="Calibri"/>
          <w:bCs/>
          <w:sz w:val="28"/>
          <w:szCs w:val="28"/>
          <w:lang w:eastAsia="en-US"/>
        </w:rPr>
        <w:t xml:space="preserve">существления и учета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средствами федеральных бюджетных (автономных) учреждений, получателей средств из бюджета, средствами обязательного медицинского страхования, поступающими федеральным бюджетным учреждениям; </w:t>
      </w:r>
    </w:p>
    <w:p w:rsidR="00BE538C" w:rsidRPr="00BE538C" w:rsidRDefault="00BE538C" w:rsidP="00BE538C">
      <w:pPr>
        <w:ind w:firstLine="709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BE538C">
        <w:rPr>
          <w:rFonts w:eastAsia="Calibri"/>
          <w:bCs/>
          <w:sz w:val="28"/>
          <w:szCs w:val="28"/>
          <w:lang w:eastAsia="en-US"/>
        </w:rPr>
        <w:t>к</w:t>
      </w:r>
      <w:r w:rsidRPr="00BE538C">
        <w:rPr>
          <w:rFonts w:eastAsia="Calibri"/>
          <w:sz w:val="28"/>
          <w:szCs w:val="28"/>
          <w:lang w:eastAsia="en-US"/>
        </w:rPr>
        <w:t xml:space="preserve">азначейского обслуживания исполнения местных бюджетов, операций со средствами муниципальных бюджетных учреждений, операций со средствами, поступающими во временное распоряжение получателей средств местных бюджетов; </w:t>
      </w:r>
    </w:p>
    <w:p w:rsidR="00BE538C" w:rsidRPr="00BE538C" w:rsidRDefault="00BE538C" w:rsidP="00BE538C">
      <w:pPr>
        <w:ind w:firstLine="709"/>
        <w:jc w:val="both"/>
        <w:outlineLvl w:val="0"/>
        <w:rPr>
          <w:bCs/>
          <w:sz w:val="28"/>
          <w:szCs w:val="28"/>
        </w:rPr>
      </w:pPr>
      <w:r w:rsidRPr="00BE538C">
        <w:rPr>
          <w:rFonts w:eastAsia="Calibri"/>
          <w:sz w:val="28"/>
          <w:szCs w:val="28"/>
          <w:lang w:eastAsia="en-US"/>
        </w:rPr>
        <w:t>предоставления муниципальному образованию</w:t>
      </w:r>
      <w:r w:rsidRPr="00BE538C">
        <w:rPr>
          <w:bCs/>
          <w:sz w:val="28"/>
          <w:szCs w:val="28"/>
        </w:rPr>
        <w:t xml:space="preserve"> бюджетного кредита на пополнение остатка средств на едином счете бюджета.</w:t>
      </w:r>
    </w:p>
    <w:p w:rsidR="004714FB" w:rsidRPr="00BE538C" w:rsidRDefault="004714FB" w:rsidP="004714FB">
      <w:pPr>
        <w:ind w:firstLine="709"/>
        <w:jc w:val="both"/>
        <w:outlineLvl w:val="0"/>
        <w:rPr>
          <w:sz w:val="28"/>
          <w:szCs w:val="28"/>
        </w:rPr>
      </w:pPr>
      <w:r w:rsidRPr="00BE538C"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="00BE538C" w:rsidRPr="00BE538C">
        <w:rPr>
          <w:sz w:val="28"/>
          <w:szCs w:val="28"/>
        </w:rPr>
        <w:t>29</w:t>
      </w:r>
      <w:r w:rsidRPr="00BE538C">
        <w:rPr>
          <w:sz w:val="28"/>
          <w:szCs w:val="28"/>
        </w:rPr>
        <w:t>.</w:t>
      </w:r>
      <w:r w:rsidR="00611BBD" w:rsidRPr="00BE538C">
        <w:rPr>
          <w:sz w:val="28"/>
          <w:szCs w:val="28"/>
        </w:rPr>
        <w:t>08</w:t>
      </w:r>
      <w:r w:rsidRPr="00BE538C">
        <w:rPr>
          <w:sz w:val="28"/>
          <w:szCs w:val="28"/>
        </w:rPr>
        <w:t>.2024.</w:t>
      </w:r>
    </w:p>
    <w:p w:rsidR="004714FB" w:rsidRPr="00BE538C" w:rsidRDefault="004714FB" w:rsidP="004714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38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="00BE538C" w:rsidRPr="00BE538C">
        <w:rPr>
          <w:rFonts w:ascii="Times New Roman" w:hAnsi="Times New Roman" w:cs="Times New Roman"/>
          <w:sz w:val="28"/>
          <w:szCs w:val="28"/>
        </w:rPr>
        <w:t>29</w:t>
      </w:r>
      <w:r w:rsidRPr="00BE538C">
        <w:rPr>
          <w:rFonts w:ascii="Times New Roman" w:hAnsi="Times New Roman" w:cs="Times New Roman"/>
          <w:sz w:val="28"/>
          <w:szCs w:val="28"/>
        </w:rPr>
        <w:t>.</w:t>
      </w:r>
      <w:r w:rsidR="00611BBD" w:rsidRPr="00BE538C">
        <w:rPr>
          <w:rFonts w:ascii="Times New Roman" w:hAnsi="Times New Roman" w:cs="Times New Roman"/>
          <w:sz w:val="28"/>
          <w:szCs w:val="28"/>
        </w:rPr>
        <w:t>08</w:t>
      </w:r>
      <w:r w:rsidRPr="00BE538C">
        <w:rPr>
          <w:rFonts w:ascii="Times New Roman" w:hAnsi="Times New Roman" w:cs="Times New Roman"/>
          <w:sz w:val="28"/>
          <w:szCs w:val="28"/>
        </w:rPr>
        <w:t xml:space="preserve">.2024 подготовлен и представлен руководителю Управления Отчет о результатах проверки Отдела от </w:t>
      </w:r>
      <w:r w:rsidR="00BE538C" w:rsidRPr="00BE538C">
        <w:rPr>
          <w:rFonts w:ascii="Times New Roman" w:hAnsi="Times New Roman" w:cs="Times New Roman"/>
          <w:sz w:val="28"/>
          <w:szCs w:val="28"/>
          <w:lang w:val="en-US"/>
        </w:rPr>
        <w:t>02</w:t>
      </w:r>
      <w:r w:rsidRPr="00BE538C">
        <w:rPr>
          <w:rFonts w:ascii="Times New Roman" w:hAnsi="Times New Roman" w:cs="Times New Roman"/>
          <w:sz w:val="28"/>
          <w:szCs w:val="28"/>
        </w:rPr>
        <w:t>.</w:t>
      </w:r>
      <w:r w:rsidR="00611BBD" w:rsidRPr="00BE538C">
        <w:rPr>
          <w:rFonts w:ascii="Times New Roman" w:hAnsi="Times New Roman" w:cs="Times New Roman"/>
          <w:sz w:val="28"/>
          <w:szCs w:val="28"/>
        </w:rPr>
        <w:t>0</w:t>
      </w:r>
      <w:r w:rsidR="00BE538C" w:rsidRPr="00BE538C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BE538C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4714FB" w:rsidRPr="00BE538C" w:rsidRDefault="004714FB" w:rsidP="004714FB">
      <w:pPr>
        <w:ind w:firstLine="709"/>
        <w:jc w:val="both"/>
        <w:rPr>
          <w:b/>
          <w:sz w:val="28"/>
          <w:szCs w:val="28"/>
        </w:rPr>
      </w:pPr>
      <w:r w:rsidRPr="00BE538C">
        <w:rPr>
          <w:b/>
          <w:sz w:val="28"/>
          <w:szCs w:val="28"/>
        </w:rPr>
        <w:t>Выводы:</w:t>
      </w:r>
    </w:p>
    <w:p w:rsidR="00BE538C" w:rsidRPr="00BE538C" w:rsidRDefault="00BE538C" w:rsidP="00BE538C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BE538C">
        <w:rPr>
          <w:sz w:val="28"/>
          <w:szCs w:val="28"/>
        </w:rPr>
        <w:t xml:space="preserve">Деятельность Отдела по направлениям деятельности: </w:t>
      </w:r>
      <w:proofErr w:type="gramStart"/>
      <w:r w:rsidRPr="00BE538C">
        <w:rPr>
          <w:sz w:val="28"/>
          <w:szCs w:val="28"/>
        </w:rPr>
        <w:t>«О</w:t>
      </w:r>
      <w:r w:rsidRPr="00BE538C">
        <w:rPr>
          <w:rFonts w:eastAsia="Calibri"/>
          <w:bCs/>
          <w:sz w:val="28"/>
          <w:szCs w:val="28"/>
          <w:lang w:eastAsia="en-US"/>
        </w:rPr>
        <w:t xml:space="preserve">существление и учет операций со средствами федерального бюджета, средствами, поступающими во временное распоряжение получателей средств федерального бюджета, средствами для финансирования мероприятий по оперативно-розыскной деятельности, </w:t>
      </w:r>
      <w:r w:rsidRPr="00BE538C">
        <w:rPr>
          <w:rFonts w:eastAsia="Calibri"/>
          <w:bCs/>
          <w:sz w:val="28"/>
          <w:szCs w:val="28"/>
          <w:lang w:eastAsia="en-US"/>
        </w:rPr>
        <w:lastRenderedPageBreak/>
        <w:t>средствами федеральных бюджетных (автономных) учреждений, получателей средств из бюджета, средствами обязательного медицинского страхования, поступающими федеральным бюджетным учреждениям», «К</w:t>
      </w:r>
      <w:r w:rsidRPr="00BE538C">
        <w:rPr>
          <w:rFonts w:eastAsia="Calibri"/>
          <w:sz w:val="28"/>
          <w:szCs w:val="28"/>
          <w:lang w:eastAsia="en-US"/>
        </w:rPr>
        <w:t>азначейского обслуживания исполнения местных бюджетов, операций со средствами муниципальных бюджетных учреждений, операций со средствами, поступающими во временное распоряжение получателей</w:t>
      </w:r>
      <w:proofErr w:type="gramEnd"/>
      <w:r w:rsidRPr="00BE538C">
        <w:rPr>
          <w:rFonts w:eastAsia="Calibri"/>
          <w:sz w:val="28"/>
          <w:szCs w:val="28"/>
          <w:lang w:eastAsia="en-US"/>
        </w:rPr>
        <w:t xml:space="preserve"> средств местных бюджетов», «Предоставление муниципальному образованию</w:t>
      </w:r>
      <w:r w:rsidRPr="00BE538C">
        <w:rPr>
          <w:bCs/>
          <w:sz w:val="28"/>
          <w:szCs w:val="28"/>
        </w:rPr>
        <w:t xml:space="preserve"> бюджетного кредита на пополнение остатка средств на едином счете бюджета» </w:t>
      </w:r>
      <w:r w:rsidRPr="00BE538C">
        <w:rPr>
          <w:sz w:val="28"/>
          <w:szCs w:val="28"/>
        </w:rPr>
        <w:t>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документов, в ходе проверки нарушения (недостатки) не выявлены.</w:t>
      </w:r>
    </w:p>
    <w:p w:rsidR="00BE538C" w:rsidRPr="00BE538C" w:rsidRDefault="00BE538C" w:rsidP="00BE538C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BE538C">
        <w:rPr>
          <w:sz w:val="28"/>
          <w:szCs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2021, 2022, 2023, 2024 годы и проверенным в рамках настоящей проверки: </w:t>
      </w:r>
    </w:p>
    <w:p w:rsidR="00BE538C" w:rsidRPr="00BE538C" w:rsidRDefault="00BE538C" w:rsidP="00BE538C">
      <w:pPr>
        <w:pStyle w:val="13"/>
        <w:widowControl w:val="0"/>
        <w:tabs>
          <w:tab w:val="center" w:pos="5456"/>
        </w:tabs>
        <w:ind w:firstLine="708"/>
        <w:rPr>
          <w:sz w:val="28"/>
          <w:szCs w:val="28"/>
        </w:rPr>
      </w:pPr>
      <w:r w:rsidRPr="00BE538C">
        <w:rPr>
          <w:sz w:val="28"/>
          <w:szCs w:val="28"/>
        </w:rPr>
        <w:t xml:space="preserve">Обеспечение исполнения технологических регламентов Федерального казначейства, относящихся к функциям Отдела (2021, 2022, 2023, 2024 год); </w:t>
      </w:r>
    </w:p>
    <w:p w:rsidR="00BE538C" w:rsidRPr="00BE538C" w:rsidRDefault="00BE538C" w:rsidP="00BE538C">
      <w:pPr>
        <w:pStyle w:val="13"/>
        <w:widowControl w:val="0"/>
        <w:tabs>
          <w:tab w:val="center" w:pos="5456"/>
        </w:tabs>
        <w:ind w:firstLine="708"/>
        <w:rPr>
          <w:sz w:val="28"/>
          <w:szCs w:val="28"/>
        </w:rPr>
      </w:pPr>
      <w:r w:rsidRPr="00BE538C">
        <w:rPr>
          <w:sz w:val="28"/>
          <w:szCs w:val="28"/>
        </w:rPr>
        <w:t>Проверка распоряжений о совершении казначейских платежей на соответствие требованиям нормативных правовых актов (2021, 2022, 2023, 2024 год) - оценивается как высокая, в ходе проверки нарушения (недостатки) не выявлены.</w:t>
      </w:r>
    </w:p>
    <w:p w:rsidR="00DD3FDF" w:rsidRPr="00BE538C" w:rsidRDefault="00BE538C" w:rsidP="00BE538C">
      <w:pPr>
        <w:widowControl w:val="0"/>
        <w:ind w:firstLine="709"/>
        <w:jc w:val="both"/>
        <w:rPr>
          <w:sz w:val="28"/>
          <w:szCs w:val="28"/>
        </w:rPr>
      </w:pPr>
      <w:r w:rsidRPr="00BE538C">
        <w:rPr>
          <w:sz w:val="28"/>
          <w:szCs w:val="28"/>
        </w:rPr>
        <w:t>Функционирование системы управления внутренними рисками признается эффективным в связи с тем, что по результатам проверки нарушения (недостатки) не выявлены.</w:t>
      </w:r>
    </w:p>
    <w:sectPr w:rsidR="00DD3FDF" w:rsidRPr="00BE538C" w:rsidSect="004714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A0"/>
    <w:rsid w:val="0025459B"/>
    <w:rsid w:val="00293495"/>
    <w:rsid w:val="004714FB"/>
    <w:rsid w:val="00611BBD"/>
    <w:rsid w:val="00A952FF"/>
    <w:rsid w:val="00B0411F"/>
    <w:rsid w:val="00BE538C"/>
    <w:rsid w:val="00C15BC4"/>
    <w:rsid w:val="00C552A0"/>
    <w:rsid w:val="00E27F15"/>
    <w:rsid w:val="00E301AA"/>
    <w:rsid w:val="00E55172"/>
    <w:rsid w:val="00F21A1E"/>
    <w:rsid w:val="00F4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4FB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714FB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471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714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 + 13"/>
    <w:basedOn w:val="a"/>
    <w:link w:val="130"/>
    <w:rsid w:val="00BE538C"/>
    <w:pPr>
      <w:ind w:firstLine="709"/>
      <w:jc w:val="both"/>
    </w:pPr>
    <w:rPr>
      <w:snapToGrid w:val="0"/>
      <w:sz w:val="26"/>
      <w:szCs w:val="20"/>
    </w:rPr>
  </w:style>
  <w:style w:type="character" w:customStyle="1" w:styleId="130">
    <w:name w:val="Обычный + 13 Знак"/>
    <w:link w:val="13"/>
    <w:rsid w:val="00BE538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4FB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714FB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471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714F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3">
    <w:name w:val="Обычный + 13"/>
    <w:basedOn w:val="a"/>
    <w:link w:val="130"/>
    <w:rsid w:val="00BE538C"/>
    <w:pPr>
      <w:ind w:firstLine="709"/>
      <w:jc w:val="both"/>
    </w:pPr>
    <w:rPr>
      <w:snapToGrid w:val="0"/>
      <w:sz w:val="26"/>
      <w:szCs w:val="20"/>
    </w:rPr>
  </w:style>
  <w:style w:type="character" w:customStyle="1" w:styleId="130">
    <w:name w:val="Обычный + 13 Знак"/>
    <w:link w:val="13"/>
    <w:rsid w:val="00BE538C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Саласина Сюзанна Акоповна</cp:lastModifiedBy>
  <cp:revision>10</cp:revision>
  <dcterms:created xsi:type="dcterms:W3CDTF">2024-08-16T11:46:00Z</dcterms:created>
  <dcterms:modified xsi:type="dcterms:W3CDTF">2024-09-02T09:11:00Z</dcterms:modified>
</cp:coreProperties>
</file>