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деятельности </w:t>
      </w:r>
      <w:r>
        <w:rPr>
          <w:b/>
          <w:color w:val="000000"/>
          <w:sz w:val="28"/>
          <w:szCs w:val="28"/>
        </w:rPr>
        <w:t xml:space="preserve">отдела </w:t>
      </w:r>
      <w:r>
        <w:rPr>
          <w:b/>
          <w:color w:val="000000"/>
          <w:sz w:val="28"/>
          <w:szCs w:val="28"/>
        </w:rPr>
        <w:t xml:space="preserve">№ 13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Управления Федерального казначейства по Ханты-Мансийскому </w:t>
      </w:r>
      <w:r>
        <w:rPr>
          <w:b/>
          <w:sz w:val="28"/>
          <w:szCs w:val="28"/>
        </w:rPr>
        <w:t xml:space="preserve">автономному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округу – Югре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ind w:firstLine="709"/>
        <w:jc w:val="both"/>
        <w:spacing w:after="0"/>
      </w:pPr>
      <w:r>
        <w:rPr>
          <w:rFonts w:cs="Times New Roman"/>
          <w:sz w:val="28"/>
          <w:szCs w:val="28"/>
        </w:rPr>
        <w:t xml:space="preserve">Во исполнение </w:t>
      </w:r>
      <w:r>
        <w:rPr>
          <w:rFonts w:cs="Times New Roman"/>
          <w:spacing w:val="3"/>
          <w:sz w:val="28"/>
          <w:szCs w:val="28"/>
        </w:rPr>
        <w:t xml:space="preserve">приказа Управления Федерального казначейства по Ханты-Мансийскому автономному округу – Югре (далее – Управление) </w:t>
      </w:r>
      <w:r>
        <w:rPr>
          <w:sz w:val="28"/>
          <w:szCs w:val="28"/>
        </w:rPr>
        <w:t xml:space="preserve">от 23.10.2025 № </w:t>
      </w:r>
      <w:r>
        <w:rPr>
          <w:sz w:val="28"/>
          <w:szCs w:val="28"/>
        </w:rPr>
        <w:t xml:space="preserve">218-П «О проведении проверки деятельности отдела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Программой проверки </w:t>
      </w:r>
      <w:r>
        <w:rPr>
          <w:sz w:val="28"/>
          <w:szCs w:val="28"/>
        </w:rPr>
        <w:t xml:space="preserve">отдела № 13 Управления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период с</w:t>
      </w:r>
      <w:r>
        <w:rPr>
          <w:sz w:val="28"/>
          <w:szCs w:val="28"/>
        </w:rPr>
        <w:t xml:space="preserve"> 01.</w:t>
      </w:r>
      <w:r>
        <w:rPr>
          <w:sz w:val="28"/>
          <w:szCs w:val="28"/>
        </w:rPr>
        <w:t xml:space="preserve">04.2023 по 31.10.2025</w:t>
      </w:r>
      <w:r>
        <w:rPr>
          <w:sz w:val="28"/>
          <w:szCs w:val="28"/>
        </w:rPr>
        <w:t xml:space="preserve">, утвержденной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А.В. Цыганенко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18.11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rFonts w:cs="Times New Roman"/>
          <w:sz w:val="28"/>
          <w:szCs w:val="28"/>
        </w:rPr>
        <w:t xml:space="preserve">, контрольно-аудиторской группой</w:t>
      </w:r>
      <w:r>
        <w:rPr>
          <w:sz w:val="28"/>
          <w:szCs w:val="28"/>
        </w:rPr>
        <w:t xml:space="preserve"> проведена проверка деятельности </w:t>
      </w:r>
      <w:r>
        <w:rPr>
          <w:rFonts w:cs="Times New Roman"/>
          <w:sz w:val="28"/>
          <w:szCs w:val="28"/>
        </w:rPr>
        <w:t xml:space="preserve">о</w:t>
      </w:r>
      <w:r>
        <w:rPr>
          <w:rFonts w:cs="Times New Roman"/>
          <w:sz w:val="28"/>
          <w:szCs w:val="28"/>
        </w:rPr>
        <w:t xml:space="preserve">тдела</w:t>
      </w:r>
      <w:r>
        <w:rPr>
          <w:rFonts w:cs="Times New Roman"/>
          <w:sz w:val="28"/>
          <w:szCs w:val="28"/>
        </w:rPr>
        <w:t xml:space="preserve"> № 13</w:t>
      </w:r>
      <w:r>
        <w:rPr>
          <w:sz w:val="28"/>
          <w:szCs w:val="28"/>
        </w:rPr>
        <w:t xml:space="preserve"> по теме: </w:t>
      </w:r>
      <w:r>
        <w:rPr>
          <w:bCs/>
          <w:sz w:val="28"/>
          <w:szCs w:val="28"/>
        </w:rPr>
        <w:t xml:space="preserve">проверка выполнения отдельных функций. </w:t>
      </w:r>
      <w:r/>
    </w:p>
    <w:p>
      <w:pPr>
        <w:pStyle w:val="858"/>
        <w:ind w:firstLine="709"/>
        <w:jc w:val="both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Проверяемый период:</w:t>
      </w:r>
      <w:r>
        <w:rPr>
          <w:rFonts w:cs="Times New Roman"/>
          <w:sz w:val="28"/>
          <w:szCs w:val="28"/>
        </w:rPr>
        <w:t xml:space="preserve"> с </w:t>
      </w:r>
      <w:r>
        <w:rPr>
          <w:rFonts w:cs="Times New Roman"/>
          <w:sz w:val="28"/>
          <w:szCs w:val="28"/>
        </w:rPr>
        <w:t xml:space="preserve">01.04.2023 по 31.10.2025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проверки: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комбинированная</w:t>
      </w:r>
      <w:r>
        <w:rPr>
          <w:sz w:val="28"/>
          <w:szCs w:val="28"/>
        </w:rPr>
        <w:t xml:space="preserve"> проверка.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проверки: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соответствия деятельности отдела №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Управления (далее – Отдел)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исполнению  государственных функций и полномочий, по обеспечению его текущей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законодательных и иных нормативных правовых актов Российской Федер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части: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2"/>
        <w:ind w:firstLine="709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spacing w:before="0" w:after="0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казначейского обслуживания исполнения местных бюджетов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2"/>
        <w:ind w:firstLine="708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проверки оформлен Акт проверки Отдела от </w:t>
      </w:r>
      <w:r>
        <w:rPr>
          <w:sz w:val="28"/>
          <w:szCs w:val="28"/>
        </w:rPr>
        <w:t xml:space="preserve">23.12</w:t>
      </w:r>
      <w:r>
        <w:rPr>
          <w:sz w:val="28"/>
          <w:szCs w:val="28"/>
        </w:rPr>
        <w:t xml:space="preserve">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Выводы: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Деятельность Отдела по направлению деятельности «Осуществление и учет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ративно-розыскной деятельности» 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Федерального казначейства, иных документов. Выявлено наруш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ение по отдельному вопросу программы проверки. 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Деятельность Отдела по направлению деятельности «Казначейское обслуживание исполнения местных бюджетов»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 Министерства финансов Российской Федерации и Федерального казначейства, иных документов, нарушения (недостатки) не выявлены.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2023, 2024, 2025 годы и проверенным в рамках настоящей проверки: 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Ведение лицевых счетов клиентов,  которым в Управлении в установленном порядке открыты  лицевые счета (2023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Ведение лицевых счетов клиентов (2024, 2025 годы),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Проведение  операций со средствами, поступающими во временное распоряжение  получателя средств федерального бюджета (2023, 2024 годы),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Санкционирование операций со средствами, поступающими во временное распоряжение получателей средств федерального бюджета (2025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Санкционирование оплаты денежных обязательств получателей средств федерального бюджета (2023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Санкционирование оплаты денежных обязательств получателей средств федерального бюджета и оплаты денежных обязательств, подлежащих исполнению за счет бюджетных ассигнований по источникам финансирования дефицита федерального бюджета, расходов федеральных бюд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жетных и федеральных автономных учреждений, источником финансового обеспечения которых являются субсидии, полученные в соответствии с абзацем вторым части 1 статьи 78.1 и статьей 78.2 БК РФ, лицевые счета которых открыты в УФК (2025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Учет бюджетных и денежных обязательств получателей средств федерального бюджета (2023, 2024, 2025 годы),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Взыскание неиспользованных остатков субсидий, предоставленных из федерального бюджета (2023, 2024, 2025 годы), 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Использование технологических регламентов Федерального казначейства в части осуществления функций по соответствующему направлению деятельности  отдела № 13 Управления (2023, 2024, 2025 годы),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Доведение клиентам отчетных форм по соответствующим лицевым счетам (2023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решений налогового органа о взыскании налога, сбора, страхового взноса, пеней и штрафов, предусматривающих обращение взыскания на средства бюджетов бюджетной системы Российской Федерации, на средства бюджетных (автономных) учреждений (2023  год)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  судебных актов, предусматривающих обращение взыскания на средства бюджетов бюджетной системы Российской Федерации на средства бюджетных (автономных) учреждений (2023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Учет невыясненных поступлений (2023, 2024, 2025 годы),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Проведение и учет операций по перечислениям из бюджета субъекта Российской Федерации (местных бюджетов), бюджетов государственных внебюджетных фондов от имени и по поручению клиентов, лицевые счета которых открыты в УФК (2023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Проведение и учет операций по казначейским платежам из местных бюджетов от имени и по поручению клиентов, лицевые счета которых открыты в УФК (2024, 2025 годы),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Осуществление контроля за соответствием данных распоряжений о совершении казначейских платежей, представляемых получателями бюджетных средств в УФК (2025годы) - определена как достаточная для своевременного выявления и устранения фактов несоблюдения положе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ний нормативных правовых актов при осуществлении операций и действий (в том числе по формированию документов) необходимые для выполнения функций и осуществления полномочий Отделом, а также сотрудниками Отдела, формировании документов в процессе осуществлен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ия указанных операций и действий;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судебных актов, решений о взыскании задолженности за счет денежных средств, отраженных на лицевых счетах налогоплательщика (плательщика сбора, плательщика страховых взносов, налогового агента, иного лица), предусматривающих обращение взыскания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средства бюджетов бюджетной системы Российской Федерации, на средства бюджетных (автономных) учреждений (2024 год),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судебных актов, предусматривающих обращение взыскания на средства бюджетов бюджетной системы Российской Федерации, на средства федеральных бюджетных (автономных) учреждений; решений налогового органа о взыскании задолженности за счет денежных ср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едств, отраженных на лицевых счетах налогоплательщика, предусматривающего обращение взыскания на средства бюджетов бюджетной системы Российской Федерации; на средства федеральных бюджетных (автономных) учреждений (2025 год) - определена как недостаточная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своевременного выявления и устранения фактов несоблюдения положений нормативных правовых актов при осуществлении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пераций и действий (в том числе по формированию документов) необходимые для выполнения функций и осуществления полномочий Отделом, а также сотрудниками Отдела, формировании документов в процессе осуществления указанных операций и действий, по предметам 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верки, проверенным в ходе контрольного мероприятия.</w:t>
      </w:r>
      <w:r/>
    </w:p>
    <w:p>
      <w:pPr>
        <w:ind w:left="0" w:right="3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Функционирование системы управления внутренними рисками признается эффективным в связи с тем, что по результатам проверки выявлено нарушение по 1 из 12 (8%) вопросам программы проверки с уровнем внутреннего риска «низкий». </w:t>
      </w:r>
      <w:r/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44072710"/>
      <w:docPartObj>
        <w:docPartGallery w:val="Page Numbers (Top of Page)"/>
        <w:docPartUnique w:val="true"/>
      </w:docPartObj>
      <w:rPr/>
    </w:sdtPr>
    <w:sdtContent>
      <w:p>
        <w:pPr>
          <w:pStyle w:val="86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4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65"/>
    <w:uiPriority w:val="99"/>
  </w:style>
  <w:style w:type="character" w:styleId="707">
    <w:name w:val="Footer Char"/>
    <w:basedOn w:val="855"/>
    <w:link w:val="867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5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Body Text"/>
    <w:basedOn w:val="854"/>
    <w:link w:val="859"/>
    <w:semiHidden/>
    <w:unhideWhenUsed/>
    <w:pPr>
      <w:spacing w:after="120"/>
    </w:pPr>
    <w:rPr>
      <w:rFonts w:cs="Courier New"/>
      <w:sz w:val="26"/>
      <w:szCs w:val="26"/>
    </w:rPr>
  </w:style>
  <w:style w:type="character" w:styleId="859" w:customStyle="1">
    <w:name w:val="Основной текст Знак"/>
    <w:basedOn w:val="855"/>
    <w:link w:val="858"/>
    <w:semiHidden/>
    <w:rPr>
      <w:rFonts w:ascii="Times New Roman" w:hAnsi="Times New Roman" w:eastAsia="Times New Roman" w:cs="Courier New"/>
      <w:sz w:val="26"/>
      <w:szCs w:val="26"/>
      <w:lang w:eastAsia="ru-RU"/>
    </w:rPr>
  </w:style>
  <w:style w:type="character" w:styleId="860" w:customStyle="1">
    <w:name w:val="ConsPlusNonformat Знак"/>
    <w:link w:val="86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Nonformat"/>
    <w:link w:val="860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2" w:customStyle="1">
    <w:name w:val="OTR_Normal"/>
    <w:basedOn w:val="854"/>
    <w:link w:val="863"/>
    <w:pPr>
      <w:ind w:firstLine="567"/>
      <w:jc w:val="both"/>
      <w:spacing w:before="60" w:after="120"/>
    </w:pPr>
    <w:rPr>
      <w:szCs w:val="20"/>
      <w:lang w:eastAsia="zh-CN"/>
    </w:rPr>
  </w:style>
  <w:style w:type="character" w:styleId="863" w:customStyle="1">
    <w:name w:val="OTR_Normal Знак"/>
    <w:link w:val="862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864" w:customStyle="1">
    <w:name w:val="consplusnonformat"/>
    <w:basedOn w:val="854"/>
    <w:uiPriority w:val="99"/>
    <w:rPr>
      <w:rFonts w:ascii="Courier New" w:hAnsi="Courier New" w:eastAsia="Calibri" w:cs="Courier New"/>
      <w:sz w:val="20"/>
      <w:szCs w:val="20"/>
    </w:rPr>
  </w:style>
  <w:style w:type="paragraph" w:styleId="865">
    <w:name w:val="Header"/>
    <w:basedOn w:val="854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5"/>
    <w:link w:val="8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>
    <w:name w:val="Footer"/>
    <w:basedOn w:val="854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5"/>
    <w:link w:val="86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Кинзина Екатерина Андреевна</cp:lastModifiedBy>
  <cp:revision>18</cp:revision>
  <dcterms:created xsi:type="dcterms:W3CDTF">2025-08-18T10:39:00Z</dcterms:created>
  <dcterms:modified xsi:type="dcterms:W3CDTF">2025-12-26T04:45:54Z</dcterms:modified>
</cp:coreProperties>
</file>