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проведенной проверке деятельности </w:t>
      </w:r>
      <w:r>
        <w:rPr>
          <w:b/>
          <w:color w:val="000000"/>
          <w:sz w:val="28"/>
          <w:szCs w:val="28"/>
        </w:rPr>
        <w:t xml:space="preserve">отдела № </w:t>
      </w:r>
      <w:r>
        <w:rPr>
          <w:b/>
          <w:color w:val="000000"/>
          <w:sz w:val="28"/>
          <w:szCs w:val="28"/>
        </w:rPr>
        <w:t xml:space="preserve">6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Управления Федерального казначейства по Ханты-Мансийскому </w:t>
      </w:r>
      <w:r>
        <w:rPr>
          <w:b/>
          <w:sz w:val="28"/>
          <w:szCs w:val="28"/>
        </w:rPr>
        <w:t xml:space="preserve">автономному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округу – Югре</w:t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3"/>
        <w:ind w:firstLine="709"/>
        <w:jc w:val="both"/>
        <w:spacing w:after="0"/>
      </w:pPr>
      <w:r>
        <w:rPr>
          <w:rFonts w:cs="Times New Roman"/>
          <w:sz w:val="28"/>
          <w:szCs w:val="28"/>
        </w:rPr>
        <w:t xml:space="preserve">Во ис</w:t>
      </w:r>
      <w:bookmarkStart w:id="0" w:name="_GoBack"/>
      <w:r/>
      <w:bookmarkEnd w:id="0"/>
      <w:r>
        <w:rPr>
          <w:rFonts w:cs="Times New Roman"/>
          <w:sz w:val="28"/>
          <w:szCs w:val="28"/>
        </w:rPr>
        <w:t xml:space="preserve">полнение </w:t>
      </w:r>
      <w:r>
        <w:rPr>
          <w:rFonts w:cs="Times New Roman"/>
          <w:spacing w:val="3"/>
          <w:sz w:val="28"/>
          <w:szCs w:val="28"/>
        </w:rPr>
        <w:t xml:space="preserve">приказа Управления Федерального казначейства по Ханты-Мансийскому автономному округу – Югре (далее – Управление)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02.04</w:t>
      </w:r>
      <w:r>
        <w:rPr>
          <w:sz w:val="28"/>
          <w:szCs w:val="28"/>
        </w:rPr>
        <w:t xml:space="preserve">.2026 № </w:t>
      </w:r>
      <w:r>
        <w:rPr>
          <w:sz w:val="28"/>
          <w:szCs w:val="28"/>
        </w:rPr>
        <w:t xml:space="preserve">61</w:t>
      </w:r>
      <w:r>
        <w:rPr>
          <w:sz w:val="28"/>
          <w:szCs w:val="28"/>
        </w:rPr>
        <w:t xml:space="preserve">-П «О проведении проверки деятельности отдела № </w:t>
      </w:r>
      <w:r>
        <w:rPr>
          <w:sz w:val="28"/>
          <w:szCs w:val="28"/>
        </w:rPr>
        <w:t xml:space="preserve">6»</w:t>
      </w:r>
      <w:r>
        <w:rPr>
          <w:sz w:val="28"/>
          <w:szCs w:val="28"/>
        </w:rPr>
        <w:t xml:space="preserve">, в соответствии с Программой проверки отдела №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Управления за период </w:t>
      </w:r>
      <w:r>
        <w:rPr>
          <w:sz w:val="28"/>
          <w:szCs w:val="28"/>
        </w:rPr>
        <w:t xml:space="preserve">сентябрь</w:t>
      </w:r>
      <w:r>
        <w:rPr>
          <w:sz w:val="28"/>
          <w:szCs w:val="28"/>
        </w:rPr>
        <w:t xml:space="preserve">-декабрь 2023, 2024, 2025 годы и текущий период 2026 года, утвержденной руководителем Управления А.В. Цыганенко </w:t>
      </w:r>
      <w:r>
        <w:rPr>
          <w:sz w:val="28"/>
          <w:szCs w:val="28"/>
        </w:rPr>
        <w:t xml:space="preserve">08.04</w:t>
      </w:r>
      <w:r>
        <w:rPr>
          <w:sz w:val="28"/>
          <w:szCs w:val="28"/>
        </w:rPr>
        <w:t xml:space="preserve">.2026</w:t>
      </w:r>
      <w:r>
        <w:rPr>
          <w:rFonts w:cs="Times New Roman"/>
          <w:sz w:val="28"/>
          <w:szCs w:val="28"/>
        </w:rPr>
        <w:t xml:space="preserve">, контрольно-аудиторской группой</w:t>
      </w:r>
      <w:r>
        <w:rPr>
          <w:sz w:val="28"/>
          <w:szCs w:val="28"/>
        </w:rPr>
        <w:t xml:space="preserve"> проведена проверка деятельности </w:t>
      </w:r>
      <w:r>
        <w:rPr>
          <w:rFonts w:cs="Times New Roman"/>
          <w:sz w:val="28"/>
          <w:szCs w:val="28"/>
        </w:rPr>
        <w:t xml:space="preserve">отдела № </w:t>
      </w:r>
      <w:r>
        <w:rPr>
          <w:rFonts w:cs="Times New Roman"/>
          <w:sz w:val="28"/>
          <w:szCs w:val="28"/>
        </w:rPr>
        <w:t xml:space="preserve">6</w:t>
      </w:r>
      <w:r>
        <w:rPr>
          <w:sz w:val="28"/>
          <w:szCs w:val="28"/>
        </w:rPr>
        <w:t xml:space="preserve"> по теме: </w:t>
      </w:r>
      <w:r>
        <w:rPr>
          <w:bCs/>
          <w:sz w:val="28"/>
          <w:szCs w:val="28"/>
        </w:rPr>
        <w:t xml:space="preserve">проверка выполнения отдельных функций. </w:t>
      </w:r>
      <w:r/>
    </w:p>
    <w:p>
      <w:pPr>
        <w:pStyle w:val="873"/>
        <w:ind w:firstLine="709"/>
        <w:jc w:val="both"/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Проверяемый период:</w:t>
      </w:r>
      <w:r>
        <w:rPr>
          <w:rFonts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сентябрь</w:t>
      </w:r>
      <w:r>
        <w:rPr>
          <w:sz w:val="28"/>
          <w:szCs w:val="28"/>
        </w:rPr>
        <w:t xml:space="preserve">-декабрь 2023, 2024, 2025 годы и текущий период 2026 года</w:t>
      </w:r>
      <w:r>
        <w:rPr>
          <w:rFonts w:cs="Times New Roman"/>
          <w:sz w:val="28"/>
          <w:szCs w:val="28"/>
        </w:rPr>
        <w:t xml:space="preserve">.</w:t>
      </w:r>
      <w:r>
        <w:rPr>
          <w:rFonts w:cs="Times New Roman"/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проверки:</w:t>
      </w:r>
      <w:r>
        <w:rPr>
          <w:sz w:val="28"/>
          <w:szCs w:val="28"/>
        </w:rPr>
        <w:t xml:space="preserve"> камеральная проверка. </w:t>
      </w:r>
      <w:r>
        <w:rPr>
          <w:sz w:val="28"/>
          <w:szCs w:val="28"/>
        </w:rPr>
      </w:r>
    </w:p>
    <w:p>
      <w:pPr>
        <w:pStyle w:val="879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 проверки: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установление соответствия деятельности отдела №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Управления (далее – Отдел)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исполнению  государственных функций и полномочий, по обеспечению его текущей деятельности требованиям законодательных и иных нормативных правовых актов Российской Федер</w:t>
      </w:r>
      <w:r>
        <w:rPr>
          <w:rFonts w:ascii="Times New Roman" w:hAnsi="Times New Roman" w:cs="Times New Roman"/>
          <w:bCs/>
          <w:sz w:val="28"/>
          <w:szCs w:val="28"/>
        </w:rPr>
        <w:t xml:space="preserve">ации, нормативных правовых и правовых актов Министерства финансов Российской Федерации и Федерального казначейства, а также иных документов и принятых управленческих решений в установленной сфере деятельности, а также оценка надежности внутреннего контроля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части: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77"/>
        <w:ind w:firstLine="709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осуществления и учета операций со средствами федерального бюджета, средствами, поступающими во временное распоряжение получателей средств федерального бюджета;</w:t>
      </w:r>
      <w:r>
        <w:rPr>
          <w:sz w:val="28"/>
          <w:szCs w:val="28"/>
        </w:rPr>
      </w:r>
    </w:p>
    <w:p>
      <w:pPr>
        <w:pStyle w:val="877"/>
        <w:ind w:firstLine="709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казначейского обслуживания </w:t>
      </w:r>
      <w:r>
        <w:rPr>
          <w:sz w:val="28"/>
          <w:szCs w:val="28"/>
        </w:rPr>
        <w:t xml:space="preserve">исполнения </w:t>
      </w:r>
      <w:r>
        <w:rPr>
          <w:sz w:val="28"/>
          <w:szCs w:val="28"/>
        </w:rPr>
        <w:t xml:space="preserve">местных бюджетов, операций со средствами муниципальных бюджетных учреждений, операций со средствами, поступающими во временное распоряжение получателей местных бюджетов;</w:t>
      </w:r>
      <w:r>
        <w:rPr>
          <w:sz w:val="28"/>
          <w:szCs w:val="28"/>
        </w:rPr>
      </w:r>
    </w:p>
    <w:p>
      <w:pPr>
        <w:pStyle w:val="877"/>
        <w:ind w:firstLine="709"/>
        <w:spacing w:before="0" w:after="0"/>
        <w:widowControl w:val="off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казначейского сопровождения средств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pStyle w:val="877"/>
        <w:ind w:firstLine="708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итогам проведенной проверки оформлен Акт проверки Отдела от </w:t>
      </w:r>
      <w:r>
        <w:rPr>
          <w:sz w:val="28"/>
          <w:szCs w:val="28"/>
        </w:rPr>
        <w:t xml:space="preserve">30</w:t>
      </w:r>
      <w:r>
        <w:rPr>
          <w:sz w:val="28"/>
          <w:szCs w:val="28"/>
        </w:rPr>
        <w:t xml:space="preserve">.04.2026.</w:t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Выводы:</w:t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Деятельность Отдела по направлению деятельности «Осуществление и учет операций со средствами федерального бюджета, средствами, поступающими во временное распоряжение получателей средств федерального бюджета» в основном осуществлялась в </w:t>
      </w:r>
      <w:r>
        <w:rPr>
          <w:sz w:val="28"/>
          <w:szCs w:val="28"/>
        </w:rPr>
        <w:t xml:space="preserve">соответствии с требованиями законодательных и иных нормативных правовых актов Российской Федерации, нормативных правовых и правовых актов Федерального казначейства, иных документов. Выявлены нарушения (недостатки) по отдельному вопросу программы проверки.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Деятельность Отдела по направлению деятельности «Казначейское обслуживание испо</w:t>
      </w:r>
      <w:r>
        <w:rPr>
          <w:sz w:val="28"/>
          <w:szCs w:val="28"/>
        </w:rPr>
        <w:t xml:space="preserve">лнения местных бюджетов, операций со средствами муниципальных бюджетных учреждений, операций со средствами, поступающими во временное распоряжение получателей местных бюджетов» в основном осуществлялась в соответствии с требованиями законодательных и иных </w:t>
      </w:r>
      <w:r>
        <w:rPr>
          <w:sz w:val="28"/>
          <w:szCs w:val="28"/>
        </w:rPr>
        <w:t xml:space="preserve">нормативных правовых актов Российской Федерации, нормативных правовых и правовых актов Министерства финансов Российской Федерации и Федерального казначейства, иных документов.</w:t>
      </w:r>
      <w:r>
        <w:rPr>
          <w:sz w:val="28"/>
          <w:szCs w:val="28"/>
        </w:rPr>
        <w:t xml:space="preserve"> Выявлены нарушения по отдельным вопросам программы проверки.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Деятельность Отдела по направлению деятельности «</w:t>
      </w:r>
      <w:r>
        <w:rPr>
          <w:sz w:val="28"/>
          <w:szCs w:val="28"/>
        </w:rPr>
        <w:t xml:space="preserve">Казначейское с</w:t>
      </w:r>
      <w:r>
        <w:rPr>
          <w:sz w:val="28"/>
          <w:szCs w:val="28"/>
        </w:rPr>
        <w:t xml:space="preserve">опровожд</w:t>
      </w:r>
      <w:r>
        <w:rPr>
          <w:sz w:val="28"/>
          <w:szCs w:val="28"/>
        </w:rPr>
        <w:t xml:space="preserve">ение средств» осуществлялась в соответствии с требованиями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 и Федерального казначейства, иных документов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нарушения</w:t>
      </w:r>
      <w:r>
        <w:rPr>
          <w:sz w:val="28"/>
          <w:szCs w:val="28"/>
        </w:rPr>
        <w:t xml:space="preserve"> (недостатки) не выявлены.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Степень надежности внутреннего контроля по предметам внутреннего контроля, включенным в Карты внутреннего контроля Отдела на 2023, 2024, 2025, 2026 годы и проверенным в рамках настоящей проверки: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Ведение лиц</w:t>
      </w:r>
      <w:r>
        <w:rPr>
          <w:sz w:val="28"/>
          <w:szCs w:val="28"/>
        </w:rPr>
        <w:t xml:space="preserve">евых счетов клиентов (</w:t>
      </w:r>
      <w:r>
        <w:rPr>
          <w:sz w:val="28"/>
          <w:szCs w:val="28"/>
        </w:rPr>
        <w:t xml:space="preserve">2023, 2024, 2025, 2026 годы</w:t>
      </w:r>
      <w:r>
        <w:rPr>
          <w:sz w:val="28"/>
          <w:szCs w:val="28"/>
        </w:rPr>
        <w:t xml:space="preserve">),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Возврат клиентам документов без исполнения (Протокол)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2023, 2025, 2026</w:t>
      </w:r>
      <w:r>
        <w:rPr>
          <w:sz w:val="28"/>
          <w:szCs w:val="28"/>
        </w:rPr>
        <w:t xml:space="preserve"> годы),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Исполнение судебных актов, решений налогового органа, предусматривающих обращение взыскания на средства бюджетов бюджетной системы Российской Федерации, на средства бюджетных (автономных) учреждений</w:t>
      </w:r>
      <w:r>
        <w:rPr>
          <w:sz w:val="28"/>
          <w:szCs w:val="28"/>
        </w:rPr>
        <w:t xml:space="preserve">, (2025 год),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Проведение и учет операций на лицевых счетах клиентов</w:t>
      </w:r>
      <w:r>
        <w:rPr>
          <w:sz w:val="28"/>
          <w:szCs w:val="28"/>
        </w:rPr>
        <w:t xml:space="preserve"> (2023, 2024, 2025 годы),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Обеспечение организаций наличными денежными средствами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2023, 2024, 2025, 2026</w:t>
      </w:r>
      <w:r>
        <w:rPr>
          <w:sz w:val="28"/>
          <w:szCs w:val="28"/>
        </w:rPr>
        <w:t xml:space="preserve"> годы),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Проведение и учет операций со средствами, поступающими во временное распоряжение получателя средств федерального бюджета, средствами федеральных бюджетных (автономных) учреждений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 год),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Проведение и учет операций со средствами, поступающими во временное распоряжение получателя средств федерального бюджета, федеральных бюджетных (автономных) учреждений</w:t>
      </w:r>
      <w:r>
        <w:rPr>
          <w:sz w:val="28"/>
          <w:szCs w:val="28"/>
        </w:rPr>
        <w:t xml:space="preserve"> (2024, 2025 годы),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Учет операций со средствами, поступающими во временное распоряжение получателя средств федерального бюджета (2023 год),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Санкционирование оплаты денежных обязательств получателей средств федерального бюджета, расходов федеральных бюджетных (автономных) учреждений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2023, 2024, 2025, 2026 годы</w:t>
      </w:r>
      <w:r>
        <w:rPr>
          <w:sz w:val="28"/>
          <w:szCs w:val="28"/>
        </w:rPr>
        <w:t xml:space="preserve">),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Санкционирование оплаты денежных обязательств получателей средств местных бюджетов, расходов бюджетных (автономных) учреждений, получателей средств из бюджета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2023, 2024, 2025, 2026 годы</w:t>
      </w:r>
      <w:r>
        <w:rPr>
          <w:sz w:val="28"/>
          <w:szCs w:val="28"/>
        </w:rPr>
        <w:t xml:space="preserve">),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Использование технологических (технических) регламентов Федерального казначейства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2023, 2024, 2025, 2026 годы</w:t>
      </w:r>
      <w:r>
        <w:rPr>
          <w:sz w:val="28"/>
          <w:szCs w:val="28"/>
        </w:rPr>
        <w:t xml:space="preserve">),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Обеспечение ведения лицевых счетов, проведение и учет  операций со средствами, подлежащими казначейскому сопровождению </w:t>
      </w:r>
      <w:r>
        <w:rPr>
          <w:sz w:val="28"/>
          <w:szCs w:val="28"/>
        </w:rPr>
        <w:t xml:space="preserve">(2023, 2025, 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 годы),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Осуществление  установленных полномочий по казначейскому обслуживанию в соответствии с обращением местной администрации о передаче (прекращении </w:t>
      </w:r>
      <w:r>
        <w:rPr>
          <w:sz w:val="28"/>
          <w:szCs w:val="28"/>
        </w:rPr>
        <w:t xml:space="preserve">осуществления) отдельных функций финансового органа муниципального образования</w:t>
      </w:r>
      <w:r>
        <w:rPr>
          <w:sz w:val="28"/>
          <w:szCs w:val="28"/>
        </w:rPr>
        <w:t xml:space="preserve"> (2023, 2024, 2025 годы),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Учет бюджетных и денежных обязательств получателей средств бюджета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2023, 2024, 2025, 2026 годы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- определена как достаточная для своевременного выявления и устранения фактов несоблюдения положений нормативных правовых актов пр</w:t>
      </w:r>
      <w:r>
        <w:rPr>
          <w:sz w:val="28"/>
          <w:szCs w:val="28"/>
        </w:rPr>
        <w:t xml:space="preserve">и осуществлении операций и действий (в том числе по формированию документов) необходимые для выполнения функций и осуществления полномочий Отделом, а также сотрудниками Отдела, формировании документов в процессе осуществления указанных операций и действий;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Исполнение судебных актов, решений налогового органа, предусматривающих обращение взыскания на средства бюджетов бюджетной системы Российской Федерации, на средства бюджетных (автономных) учреждений</w:t>
      </w:r>
      <w:r>
        <w:rPr>
          <w:sz w:val="28"/>
          <w:szCs w:val="28"/>
        </w:rPr>
        <w:t xml:space="preserve">, (2024, 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 годы),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Исполнение судебных актов, решений налогового органа о взыскании налога, сбора, страхового взноса, пеней и штрафов, предусматривающих обращение взыскания на средства бюджетов бюджетной системы Российской Федерации (2023 год),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Возврат клиентам документов без исполнения (Протокол)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2024</w:t>
      </w:r>
      <w:r>
        <w:rPr>
          <w:sz w:val="28"/>
          <w:szCs w:val="28"/>
        </w:rPr>
        <w:t xml:space="preserve"> год) </w:t>
      </w:r>
      <w:r>
        <w:rPr>
          <w:sz w:val="28"/>
          <w:szCs w:val="28"/>
        </w:rPr>
        <w:t xml:space="preserve">- определена как недостаточная для своевременного выявления и устранения фактов несоблюдения положений нормативных правовых актов при осуществлении операций и действий (в том</w:t>
      </w:r>
      <w:r>
        <w:rPr>
          <w:sz w:val="28"/>
          <w:szCs w:val="28"/>
        </w:rPr>
        <w:t xml:space="preserve"> числе по формированию документов) необходимые для выполнения функций и осуществления полномочий Отделом, а также сотрудниками Отдела, формировании документов в процессе осуществления указанных операций и действий, по предметам проверки, проверенным в ходе</w:t>
      </w:r>
      <w:r>
        <w:rPr>
          <w:sz w:val="28"/>
          <w:szCs w:val="28"/>
        </w:rPr>
        <w:t xml:space="preserve"> контрольного мероприятия.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Функционирование системы управления внутренними рисками признается эффективным, по результатам проверки выявлены нарушения по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из </w:t>
      </w:r>
      <w:r>
        <w:rPr>
          <w:sz w:val="28"/>
          <w:szCs w:val="28"/>
        </w:rPr>
        <w:t xml:space="preserve">21</w:t>
      </w:r>
      <w:r>
        <w:rPr>
          <w:sz w:val="28"/>
          <w:szCs w:val="28"/>
        </w:rPr>
        <w:t xml:space="preserve"> (1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%) вопросам программы проверки с уровнями внутреннего риска «значимый»</w:t>
      </w:r>
      <w:r>
        <w:rPr>
          <w:sz w:val="28"/>
          <w:szCs w:val="28"/>
        </w:rPr>
        <w:t xml:space="preserve"> и «низкий»</w:t>
      </w:r>
      <w:r>
        <w:rPr>
          <w:sz w:val="28"/>
          <w:szCs w:val="28"/>
        </w:rPr>
        <w:t xml:space="preserve">, в том </w:t>
      </w:r>
      <w:r>
        <w:rPr>
          <w:sz w:val="28"/>
          <w:szCs w:val="28"/>
        </w:rPr>
        <w:t xml:space="preserve">числе</w:t>
      </w:r>
      <w:r>
        <w:rPr>
          <w:sz w:val="28"/>
          <w:szCs w:val="28"/>
        </w:rPr>
        <w:t xml:space="preserve"> отсутствуют систематические нарушения.</w:t>
      </w:r>
      <w:r>
        <w:rPr>
          <w:sz w:val="28"/>
          <w:szCs w:val="28"/>
        </w:rPr>
      </w:r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44072710"/>
      <w:docPartObj>
        <w:docPartGallery w:val="Page Numbers (Top of Page)"/>
        <w:docPartUnique w:val="true"/>
      </w:docPartObj>
      <w:rPr/>
    </w:sdtPr>
    <w:sdtContent>
      <w:p>
        <w:pPr>
          <w:pStyle w:val="88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88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8">
    <w:name w:val="Heading 1"/>
    <w:basedOn w:val="677"/>
    <w:next w:val="677"/>
    <w:link w:val="7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677"/>
    <w:next w:val="677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3">
    <w:name w:val="Heading 6"/>
    <w:basedOn w:val="677"/>
    <w:next w:val="677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Heading 1 Char"/>
    <w:basedOn w:val="687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Heading 2 Char"/>
    <w:basedOn w:val="687"/>
    <w:uiPriority w:val="9"/>
    <w:rPr>
      <w:rFonts w:ascii="Arial" w:hAnsi="Arial" w:eastAsia="Arial" w:cs="Arial"/>
      <w:sz w:val="34"/>
    </w:rPr>
  </w:style>
  <w:style w:type="character" w:styleId="692" w:customStyle="1">
    <w:name w:val="Heading 3 Char"/>
    <w:basedOn w:val="687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Heading 4 Char"/>
    <w:basedOn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Heading 5 Char"/>
    <w:basedOn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Heading 6 Char"/>
    <w:basedOn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Heading 7 Char"/>
    <w:basedOn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Heading 8 Char"/>
    <w:basedOn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Heading 9 Char"/>
    <w:basedOn w:val="687"/>
    <w:uiPriority w:val="9"/>
    <w:rPr>
      <w:rFonts w:ascii="Arial" w:hAnsi="Arial" w:eastAsia="Arial" w:cs="Arial"/>
      <w:i/>
      <w:iCs/>
      <w:sz w:val="21"/>
      <w:szCs w:val="21"/>
    </w:rPr>
  </w:style>
  <w:style w:type="character" w:styleId="699" w:customStyle="1">
    <w:name w:val="Title Char"/>
    <w:basedOn w:val="687"/>
    <w:uiPriority w:val="10"/>
    <w:rPr>
      <w:sz w:val="48"/>
      <w:szCs w:val="48"/>
    </w:rPr>
  </w:style>
  <w:style w:type="character" w:styleId="700" w:customStyle="1">
    <w:name w:val="Subtitle Char"/>
    <w:basedOn w:val="687"/>
    <w:uiPriority w:val="11"/>
    <w:rPr>
      <w:sz w:val="24"/>
      <w:szCs w:val="24"/>
    </w:rPr>
  </w:style>
  <w:style w:type="character" w:styleId="701" w:customStyle="1">
    <w:name w:val="Quote Char"/>
    <w:uiPriority w:val="29"/>
    <w:rPr>
      <w:i/>
    </w:rPr>
  </w:style>
  <w:style w:type="character" w:styleId="702" w:customStyle="1">
    <w:name w:val="Intense Quote Char"/>
    <w:uiPriority w:val="30"/>
    <w:rPr>
      <w:i/>
    </w:rPr>
  </w:style>
  <w:style w:type="character" w:styleId="703" w:customStyle="1">
    <w:name w:val="Caption Char"/>
    <w:basedOn w:val="687"/>
    <w:uiPriority w:val="35"/>
    <w:rPr>
      <w:b/>
      <w:bCs/>
      <w:color w:val="4f81bd" w:themeColor="accent1"/>
      <w:sz w:val="18"/>
      <w:szCs w:val="18"/>
    </w:rPr>
  </w:style>
  <w:style w:type="character" w:styleId="704" w:customStyle="1">
    <w:name w:val="Footnote Text Char"/>
    <w:uiPriority w:val="99"/>
    <w:rPr>
      <w:sz w:val="18"/>
    </w:rPr>
  </w:style>
  <w:style w:type="character" w:styleId="705" w:customStyle="1">
    <w:name w:val="Endnote Text Char"/>
    <w:uiPriority w:val="99"/>
    <w:rPr>
      <w:sz w:val="20"/>
    </w:rPr>
  </w:style>
  <w:style w:type="character" w:styleId="706" w:customStyle="1">
    <w:name w:val="Заголовок 1 Знак"/>
    <w:basedOn w:val="687"/>
    <w:link w:val="678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Заголовок 2 Знак"/>
    <w:basedOn w:val="687"/>
    <w:link w:val="679"/>
    <w:uiPriority w:val="9"/>
    <w:rPr>
      <w:rFonts w:ascii="Arial" w:hAnsi="Arial" w:eastAsia="Arial" w:cs="Arial"/>
      <w:sz w:val="34"/>
    </w:rPr>
  </w:style>
  <w:style w:type="character" w:styleId="708" w:customStyle="1">
    <w:name w:val="Заголовок 3 Знак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Заголовок 4 Знак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677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pPr>
      <w:spacing w:after="0" w:line="240" w:lineRule="auto"/>
    </w:pPr>
  </w:style>
  <w:style w:type="paragraph" w:styleId="717">
    <w:name w:val="Title"/>
    <w:basedOn w:val="677"/>
    <w:next w:val="677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 w:customStyle="1">
    <w:name w:val="Название Знак"/>
    <w:basedOn w:val="687"/>
    <w:link w:val="717"/>
    <w:uiPriority w:val="10"/>
    <w:rPr>
      <w:sz w:val="48"/>
      <w:szCs w:val="48"/>
    </w:rPr>
  </w:style>
  <w:style w:type="paragraph" w:styleId="719">
    <w:name w:val="Subtitle"/>
    <w:basedOn w:val="677"/>
    <w:next w:val="677"/>
    <w:link w:val="720"/>
    <w:uiPriority w:val="11"/>
    <w:qFormat/>
    <w:pPr>
      <w:spacing w:before="200" w:after="200"/>
    </w:pPr>
  </w:style>
  <w:style w:type="character" w:styleId="720" w:customStyle="1">
    <w:name w:val="Подзаголовок Знак"/>
    <w:basedOn w:val="687"/>
    <w:link w:val="719"/>
    <w:uiPriority w:val="11"/>
    <w:rPr>
      <w:sz w:val="24"/>
      <w:szCs w:val="24"/>
    </w:rPr>
  </w:style>
  <w:style w:type="paragraph" w:styleId="721">
    <w:name w:val="Quote"/>
    <w:basedOn w:val="677"/>
    <w:next w:val="677"/>
    <w:link w:val="722"/>
    <w:uiPriority w:val="29"/>
    <w:qFormat/>
    <w:pPr>
      <w:ind w:left="720" w:right="720"/>
    </w:pPr>
    <w:rPr>
      <w:i/>
    </w:rPr>
  </w:style>
  <w:style w:type="character" w:styleId="722" w:customStyle="1">
    <w:name w:val="Цитата 2 Знак"/>
    <w:link w:val="721"/>
    <w:uiPriority w:val="29"/>
    <w:rPr>
      <w:i/>
    </w:rPr>
  </w:style>
  <w:style w:type="paragraph" w:styleId="723">
    <w:name w:val="Intense Quote"/>
    <w:basedOn w:val="677"/>
    <w:next w:val="677"/>
    <w:link w:val="7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 w:customStyle="1">
    <w:name w:val="Выделенная цитата Знак"/>
    <w:link w:val="723"/>
    <w:uiPriority w:val="30"/>
    <w:rPr>
      <w:i/>
    </w:rPr>
  </w:style>
  <w:style w:type="character" w:styleId="725" w:customStyle="1">
    <w:name w:val="Header Char"/>
    <w:basedOn w:val="687"/>
    <w:uiPriority w:val="99"/>
  </w:style>
  <w:style w:type="character" w:styleId="726" w:customStyle="1">
    <w:name w:val="Footer Char"/>
    <w:basedOn w:val="687"/>
    <w:uiPriority w:val="99"/>
  </w:style>
  <w:style w:type="paragraph" w:styleId="727">
    <w:name w:val="Caption"/>
    <w:basedOn w:val="677"/>
    <w:next w:val="677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 w:customStyle="1">
    <w:name w:val="Название объекта Знак"/>
    <w:basedOn w:val="687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basedOn w:val="6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 w:customStyle="1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 w:customStyle="1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 w:customStyle="1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 w:customStyle="1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9" w:customStyle="1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0" w:customStyle="1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1" w:customStyle="1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2" w:customStyle="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3" w:customStyle="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4" w:customStyle="1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3" w:customStyle="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4" w:customStyle="1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5" w:customStyle="1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6" w:customStyle="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 w:customStyle="1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9" w:customStyle="1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2" w:customStyle="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3" w:customStyle="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4" w:customStyle="1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6" w:customStyle="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7" w:customStyle="1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 &amp; 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Bordered &amp; 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Bordered &amp; 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Bordered &amp; 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Bordered &amp; 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Bordered &amp; 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0" w:customStyle="1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1" w:customStyle="1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2" w:customStyle="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3" w:customStyle="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4" w:customStyle="1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677"/>
    <w:link w:val="857"/>
    <w:uiPriority w:val="99"/>
    <w:semiHidden/>
    <w:unhideWhenUsed/>
    <w:pPr>
      <w:spacing w:after="40"/>
    </w:pPr>
    <w:rPr>
      <w:sz w:val="18"/>
    </w:rPr>
  </w:style>
  <w:style w:type="character" w:styleId="857" w:customStyle="1">
    <w:name w:val="Текст сноски Знак"/>
    <w:link w:val="856"/>
    <w:uiPriority w:val="99"/>
    <w:rPr>
      <w:sz w:val="18"/>
    </w:rPr>
  </w:style>
  <w:style w:type="character" w:styleId="858">
    <w:name w:val="footnote reference"/>
    <w:basedOn w:val="687"/>
    <w:uiPriority w:val="99"/>
    <w:unhideWhenUsed/>
    <w:rPr>
      <w:vertAlign w:val="superscript"/>
    </w:rPr>
  </w:style>
  <w:style w:type="paragraph" w:styleId="859">
    <w:name w:val="endnote text"/>
    <w:basedOn w:val="677"/>
    <w:link w:val="860"/>
    <w:uiPriority w:val="99"/>
    <w:semiHidden/>
    <w:unhideWhenUsed/>
    <w:rPr>
      <w:sz w:val="20"/>
    </w:rPr>
  </w:style>
  <w:style w:type="character" w:styleId="860" w:customStyle="1">
    <w:name w:val="Текст концевой сноски Знак"/>
    <w:link w:val="859"/>
    <w:uiPriority w:val="99"/>
    <w:rPr>
      <w:sz w:val="20"/>
    </w:rPr>
  </w:style>
  <w:style w:type="character" w:styleId="861">
    <w:name w:val="endnote reference"/>
    <w:basedOn w:val="687"/>
    <w:uiPriority w:val="99"/>
    <w:semiHidden/>
    <w:unhideWhenUsed/>
    <w:rPr>
      <w:vertAlign w:val="superscript"/>
    </w:rPr>
  </w:style>
  <w:style w:type="paragraph" w:styleId="862">
    <w:name w:val="toc 1"/>
    <w:basedOn w:val="677"/>
    <w:next w:val="677"/>
    <w:uiPriority w:val="39"/>
    <w:unhideWhenUsed/>
    <w:pPr>
      <w:spacing w:after="57"/>
    </w:pPr>
  </w:style>
  <w:style w:type="paragraph" w:styleId="863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64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65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66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67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68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69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70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77"/>
    <w:next w:val="677"/>
    <w:uiPriority w:val="99"/>
    <w:unhideWhenUsed/>
  </w:style>
  <w:style w:type="paragraph" w:styleId="873">
    <w:name w:val="Body Text"/>
    <w:basedOn w:val="677"/>
    <w:link w:val="874"/>
    <w:semiHidden/>
    <w:unhideWhenUsed/>
    <w:pPr>
      <w:spacing w:after="120"/>
    </w:pPr>
    <w:rPr>
      <w:rFonts w:cs="Courier New"/>
      <w:sz w:val="26"/>
      <w:szCs w:val="26"/>
    </w:rPr>
  </w:style>
  <w:style w:type="character" w:styleId="874" w:customStyle="1">
    <w:name w:val="Основной текст Знак"/>
    <w:basedOn w:val="687"/>
    <w:link w:val="873"/>
    <w:semiHidden/>
    <w:rPr>
      <w:rFonts w:ascii="Times New Roman" w:hAnsi="Times New Roman" w:eastAsia="Times New Roman" w:cs="Courier New"/>
      <w:sz w:val="26"/>
      <w:szCs w:val="26"/>
      <w:lang w:eastAsia="ru-RU"/>
    </w:rPr>
  </w:style>
  <w:style w:type="character" w:styleId="875" w:customStyle="1">
    <w:name w:val="ConsPlusNonformat Знак"/>
    <w:link w:val="876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876" w:customStyle="1">
    <w:name w:val="ConsPlusNonformat"/>
    <w:link w:val="875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77" w:customStyle="1">
    <w:name w:val="OTR_Normal"/>
    <w:basedOn w:val="677"/>
    <w:link w:val="878"/>
    <w:pPr>
      <w:ind w:firstLine="567"/>
      <w:jc w:val="both"/>
      <w:spacing w:before="60" w:after="120"/>
    </w:pPr>
    <w:rPr>
      <w:szCs w:val="20"/>
      <w:lang w:eastAsia="zh-CN"/>
    </w:rPr>
  </w:style>
  <w:style w:type="character" w:styleId="878" w:customStyle="1">
    <w:name w:val="OTR_Normal Знак"/>
    <w:link w:val="877"/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879" w:customStyle="1">
    <w:name w:val="consplusnonformat"/>
    <w:basedOn w:val="677"/>
    <w:uiPriority w:val="99"/>
    <w:rPr>
      <w:rFonts w:ascii="Courier New" w:hAnsi="Courier New" w:eastAsia="Calibri" w:cs="Courier New"/>
      <w:sz w:val="20"/>
      <w:szCs w:val="20"/>
    </w:rPr>
  </w:style>
  <w:style w:type="paragraph" w:styleId="880">
    <w:name w:val="Header"/>
    <w:basedOn w:val="677"/>
    <w:link w:val="88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1" w:customStyle="1">
    <w:name w:val="Верхний колонтитул Знак"/>
    <w:basedOn w:val="687"/>
    <w:link w:val="88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2">
    <w:name w:val="Footer"/>
    <w:basedOn w:val="677"/>
    <w:link w:val="88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3" w:customStyle="1">
    <w:name w:val="Нижний колонтитул Знак"/>
    <w:basedOn w:val="687"/>
    <w:link w:val="88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4" w:customStyle="1">
    <w:name w:val="docdata"/>
  </w:style>
  <w:style w:type="paragraph" w:styleId="885" w:customStyle="1">
    <w:name w:val="1276"/>
    <w:basedOn w:val="677"/>
    <w:pPr>
      <w:spacing w:before="100" w:beforeAutospacing="1" w:after="100" w:afterAutospacing="1"/>
    </w:pPr>
  </w:style>
  <w:style w:type="paragraph" w:styleId="886" w:customStyle="1">
    <w:name w:val="1286"/>
    <w:basedOn w:val="677"/>
    <w:pPr>
      <w:spacing w:before="100" w:beforeAutospacing="1" w:after="100" w:afterAutospacing="1"/>
    </w:pPr>
  </w:style>
  <w:style w:type="paragraph" w:styleId="887" w:customStyle="1">
    <w:name w:val="1032"/>
    <w:basedOn w:val="677"/>
    <w:pPr>
      <w:spacing w:before="100" w:beforeAutospacing="1" w:after="100" w:afterAutospacing="1"/>
    </w:pPr>
  </w:style>
  <w:style w:type="paragraph" w:styleId="888" w:customStyle="1">
    <w:name w:val="1817"/>
    <w:basedOn w:val="677"/>
    <w:pPr>
      <w:spacing w:before="100" w:beforeAutospacing="1" w:after="100" w:afterAutospacing="1"/>
    </w:pPr>
  </w:style>
  <w:style w:type="paragraph" w:styleId="889" w:customStyle="1">
    <w:name w:val="2203"/>
    <w:basedOn w:val="677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Кривоногова Екатерина Евгеньевна</dc:creator>
  <cp:lastModifiedBy>Конева Маргарита Павловна</cp:lastModifiedBy>
  <cp:revision>4</cp:revision>
  <dcterms:created xsi:type="dcterms:W3CDTF">2026-05-04T04:10:00Z</dcterms:created>
  <dcterms:modified xsi:type="dcterms:W3CDTF">2026-05-04T06:27:18Z</dcterms:modified>
</cp:coreProperties>
</file>